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66D1" w14:textId="3830310D" w:rsidR="00EC3065" w:rsidRDefault="00107D7C" w:rsidP="00EB6A35">
      <w:pPr>
        <w:spacing w:after="0"/>
        <w:rPr>
          <w:b/>
          <w:bCs/>
          <w:sz w:val="28"/>
          <w:szCs w:val="28"/>
        </w:rPr>
      </w:pPr>
      <w:r w:rsidRPr="00EB6A35">
        <w:rPr>
          <w:b/>
          <w:bCs/>
          <w:sz w:val="28"/>
          <w:szCs w:val="28"/>
        </w:rPr>
        <w:t xml:space="preserve">FAKTORER AF BETYDNING FOR VALG AF </w:t>
      </w:r>
      <w:r w:rsidR="00063E26" w:rsidRPr="00EB6A35">
        <w:rPr>
          <w:b/>
          <w:bCs/>
          <w:sz w:val="28"/>
          <w:szCs w:val="28"/>
        </w:rPr>
        <w:t xml:space="preserve">OVERORDNET </w:t>
      </w:r>
      <w:r w:rsidRPr="00EB6A35">
        <w:rPr>
          <w:b/>
          <w:bCs/>
          <w:sz w:val="28"/>
          <w:szCs w:val="28"/>
        </w:rPr>
        <w:t>INTERNATIONAL DISTRIBUTIONSFORM</w:t>
      </w:r>
    </w:p>
    <w:p w14:paraId="718C8DFE" w14:textId="77777777" w:rsidR="00EB6A35" w:rsidRPr="00EB6A35" w:rsidRDefault="00EB6A35" w:rsidP="00EB6A35">
      <w:pPr>
        <w:spacing w:after="0"/>
        <w:rPr>
          <w:b/>
          <w:bCs/>
          <w:sz w:val="28"/>
          <w:szCs w:val="28"/>
        </w:rPr>
      </w:pPr>
    </w:p>
    <w:p w14:paraId="1F8B508D" w14:textId="293E1D25" w:rsidR="00107D7C" w:rsidRDefault="00665717">
      <w:r>
        <w:t>Tabellen nedenfor kan give en anbefaling til, hvilken af de tre overordnede distributionsformer, der umiddelbart er mest velegnet sammenholdt med virksomhedens præferencer og ressourcer. Vurder virksomhedens præferencer ift. de fire faktorer i første kolonne. På baggrund heraf foretages efterfølgende en overordnet vurdering/anbefaling til virksomheden.</w:t>
      </w:r>
    </w:p>
    <w:tbl>
      <w:tblPr>
        <w:tblStyle w:val="Tabel-Gitter"/>
        <w:tblW w:w="0" w:type="auto"/>
        <w:tblLook w:val="04A0" w:firstRow="1" w:lastRow="0" w:firstColumn="1" w:lastColumn="0" w:noHBand="0" w:noVBand="1"/>
      </w:tblPr>
      <w:tblGrid>
        <w:gridCol w:w="4030"/>
        <w:gridCol w:w="1692"/>
        <w:gridCol w:w="1981"/>
        <w:gridCol w:w="1925"/>
      </w:tblGrid>
      <w:tr w:rsidR="00063E26" w14:paraId="67FF656E" w14:textId="77777777" w:rsidTr="00C06885">
        <w:tc>
          <w:tcPr>
            <w:tcW w:w="4106" w:type="dxa"/>
          </w:tcPr>
          <w:p w14:paraId="2889DA76" w14:textId="564A92A6" w:rsidR="00063E26" w:rsidRPr="00107D7C" w:rsidRDefault="00063E26">
            <w:pPr>
              <w:rPr>
                <w:b/>
                <w:bCs/>
              </w:rPr>
            </w:pPr>
            <w:r w:rsidRPr="00107D7C">
              <w:rPr>
                <w:b/>
                <w:bCs/>
              </w:rPr>
              <w:t>Virksomhedens overordnede præferencer</w:t>
            </w:r>
          </w:p>
        </w:tc>
        <w:tc>
          <w:tcPr>
            <w:tcW w:w="5522" w:type="dxa"/>
            <w:gridSpan w:val="3"/>
          </w:tcPr>
          <w:p w14:paraId="06A44BDF" w14:textId="4B9AB573" w:rsidR="00063E26" w:rsidRPr="00107D7C" w:rsidRDefault="00063E26" w:rsidP="00063E26">
            <w:pPr>
              <w:jc w:val="center"/>
              <w:rPr>
                <w:b/>
                <w:bCs/>
              </w:rPr>
            </w:pPr>
            <w:r>
              <w:rPr>
                <w:b/>
                <w:bCs/>
              </w:rPr>
              <w:t>Vurdering</w:t>
            </w:r>
          </w:p>
        </w:tc>
      </w:tr>
      <w:tr w:rsidR="00665717" w14:paraId="6FBB01CF" w14:textId="77777777" w:rsidTr="00107D7C">
        <w:tc>
          <w:tcPr>
            <w:tcW w:w="4106" w:type="dxa"/>
          </w:tcPr>
          <w:p w14:paraId="6A25D625" w14:textId="77777777" w:rsidR="00107D7C" w:rsidRDefault="00107D7C" w:rsidP="00665717">
            <w:pPr>
              <w:pStyle w:val="Listeafsnit"/>
              <w:numPr>
                <w:ilvl w:val="0"/>
                <w:numId w:val="1"/>
              </w:numPr>
            </w:pPr>
            <w:r>
              <w:t>Ønsket grad af kontrol</w:t>
            </w:r>
          </w:p>
          <w:p w14:paraId="4BE30860" w14:textId="77777777" w:rsidR="00107D7C" w:rsidRDefault="00107D7C"/>
        </w:tc>
        <w:tc>
          <w:tcPr>
            <w:tcW w:w="1701" w:type="dxa"/>
          </w:tcPr>
          <w:p w14:paraId="5FC5156D" w14:textId="1C1CEBBF" w:rsidR="00107D7C" w:rsidRDefault="00107D7C" w:rsidP="00063E26">
            <w:pPr>
              <w:jc w:val="center"/>
            </w:pPr>
            <w:r>
              <w:t>Lav</w:t>
            </w:r>
          </w:p>
        </w:tc>
        <w:tc>
          <w:tcPr>
            <w:tcW w:w="1985" w:type="dxa"/>
          </w:tcPr>
          <w:p w14:paraId="26D3EC89" w14:textId="5CCE57FF" w:rsidR="00107D7C" w:rsidRDefault="00107D7C" w:rsidP="00063E26">
            <w:pPr>
              <w:jc w:val="center"/>
            </w:pPr>
            <w:r>
              <w:t>Mellem</w:t>
            </w:r>
          </w:p>
        </w:tc>
        <w:tc>
          <w:tcPr>
            <w:tcW w:w="1836" w:type="dxa"/>
          </w:tcPr>
          <w:p w14:paraId="2B2619DD" w14:textId="7EEBACD1" w:rsidR="00107D7C" w:rsidRDefault="00107D7C" w:rsidP="00063E26">
            <w:pPr>
              <w:jc w:val="center"/>
            </w:pPr>
            <w:r>
              <w:t>Høj</w:t>
            </w:r>
          </w:p>
        </w:tc>
      </w:tr>
      <w:tr w:rsidR="00665717" w14:paraId="742BDED9" w14:textId="77777777" w:rsidTr="00107D7C">
        <w:tc>
          <w:tcPr>
            <w:tcW w:w="4106" w:type="dxa"/>
          </w:tcPr>
          <w:p w14:paraId="484AFD85" w14:textId="77777777" w:rsidR="00107D7C" w:rsidRDefault="00107D7C" w:rsidP="00665717">
            <w:pPr>
              <w:pStyle w:val="Listeafsnit"/>
              <w:numPr>
                <w:ilvl w:val="0"/>
                <w:numId w:val="1"/>
              </w:numPr>
            </w:pPr>
            <w:r>
              <w:t>Risikovillighed</w:t>
            </w:r>
          </w:p>
          <w:p w14:paraId="744149D2" w14:textId="5CCD3A86" w:rsidR="00107D7C" w:rsidRDefault="00107D7C" w:rsidP="00107D7C">
            <w:pPr>
              <w:spacing w:line="259" w:lineRule="auto"/>
            </w:pPr>
          </w:p>
        </w:tc>
        <w:tc>
          <w:tcPr>
            <w:tcW w:w="1701" w:type="dxa"/>
          </w:tcPr>
          <w:p w14:paraId="07BA0596" w14:textId="75CEDB21" w:rsidR="00107D7C" w:rsidRDefault="00107D7C" w:rsidP="00063E26">
            <w:pPr>
              <w:jc w:val="center"/>
            </w:pPr>
            <w:r>
              <w:t>Lav</w:t>
            </w:r>
          </w:p>
        </w:tc>
        <w:tc>
          <w:tcPr>
            <w:tcW w:w="1985" w:type="dxa"/>
          </w:tcPr>
          <w:p w14:paraId="06750E8F" w14:textId="3AA8D111" w:rsidR="00107D7C" w:rsidRDefault="00107D7C" w:rsidP="00063E26">
            <w:pPr>
              <w:jc w:val="center"/>
            </w:pPr>
            <w:r>
              <w:t>Mellem</w:t>
            </w:r>
          </w:p>
        </w:tc>
        <w:tc>
          <w:tcPr>
            <w:tcW w:w="1836" w:type="dxa"/>
          </w:tcPr>
          <w:p w14:paraId="53BC26DD" w14:textId="2E0783CE" w:rsidR="00107D7C" w:rsidRDefault="00107D7C" w:rsidP="00063E26">
            <w:pPr>
              <w:jc w:val="center"/>
            </w:pPr>
            <w:r>
              <w:t>Høj</w:t>
            </w:r>
          </w:p>
        </w:tc>
      </w:tr>
      <w:tr w:rsidR="00107D7C" w14:paraId="6BFE248C" w14:textId="77777777" w:rsidTr="00107D7C">
        <w:tc>
          <w:tcPr>
            <w:tcW w:w="4106" w:type="dxa"/>
          </w:tcPr>
          <w:p w14:paraId="14C67765" w14:textId="77777777" w:rsidR="00107D7C" w:rsidRDefault="00107D7C" w:rsidP="00665717">
            <w:pPr>
              <w:pStyle w:val="Listeafsnit"/>
              <w:numPr>
                <w:ilvl w:val="0"/>
                <w:numId w:val="1"/>
              </w:numPr>
            </w:pPr>
            <w:r>
              <w:t>Ønsket grad af fleksibilitet</w:t>
            </w:r>
          </w:p>
          <w:p w14:paraId="3F0678D4" w14:textId="7DBE9E29" w:rsidR="00107D7C" w:rsidRDefault="00107D7C" w:rsidP="00107D7C">
            <w:pPr>
              <w:spacing w:line="259" w:lineRule="auto"/>
            </w:pPr>
          </w:p>
        </w:tc>
        <w:tc>
          <w:tcPr>
            <w:tcW w:w="1701" w:type="dxa"/>
          </w:tcPr>
          <w:p w14:paraId="7DFFFFCD" w14:textId="77777777" w:rsidR="00107D7C" w:rsidRDefault="00107D7C" w:rsidP="00063E26">
            <w:pPr>
              <w:jc w:val="center"/>
            </w:pPr>
            <w:r>
              <w:t>Høj</w:t>
            </w:r>
          </w:p>
          <w:p w14:paraId="76563C52" w14:textId="759C0886" w:rsidR="00107D7C" w:rsidRDefault="00107D7C" w:rsidP="00063E26">
            <w:pPr>
              <w:jc w:val="center"/>
            </w:pPr>
          </w:p>
        </w:tc>
        <w:tc>
          <w:tcPr>
            <w:tcW w:w="1985" w:type="dxa"/>
          </w:tcPr>
          <w:p w14:paraId="655517CA" w14:textId="2F80DC37" w:rsidR="00107D7C" w:rsidRDefault="00107D7C" w:rsidP="00063E26">
            <w:pPr>
              <w:jc w:val="center"/>
            </w:pPr>
            <w:r>
              <w:t>Mellem</w:t>
            </w:r>
          </w:p>
        </w:tc>
        <w:tc>
          <w:tcPr>
            <w:tcW w:w="1836" w:type="dxa"/>
          </w:tcPr>
          <w:p w14:paraId="0C7E7FEB" w14:textId="0CCC2E0A" w:rsidR="00107D7C" w:rsidRDefault="00107D7C" w:rsidP="00063E26">
            <w:pPr>
              <w:jc w:val="center"/>
            </w:pPr>
            <w:r>
              <w:t>Lav</w:t>
            </w:r>
          </w:p>
        </w:tc>
      </w:tr>
      <w:tr w:rsidR="00665717" w14:paraId="6E4B7C8E" w14:textId="77777777" w:rsidTr="00063E26">
        <w:tc>
          <w:tcPr>
            <w:tcW w:w="4106" w:type="dxa"/>
            <w:tcBorders>
              <w:bottom w:val="single" w:sz="12" w:space="0" w:color="auto"/>
            </w:tcBorders>
          </w:tcPr>
          <w:p w14:paraId="41E68524" w14:textId="77777777" w:rsidR="00107D7C" w:rsidRDefault="00107D7C" w:rsidP="00665717">
            <w:pPr>
              <w:pStyle w:val="Listeafsnit"/>
              <w:numPr>
                <w:ilvl w:val="0"/>
                <w:numId w:val="1"/>
              </w:numPr>
            </w:pPr>
            <w:r>
              <w:t>Tilgængelige ressourcer</w:t>
            </w:r>
          </w:p>
          <w:p w14:paraId="4DCCAC35" w14:textId="77777777" w:rsidR="00107D7C" w:rsidRDefault="00107D7C" w:rsidP="00107D7C"/>
          <w:p w14:paraId="09B9731E" w14:textId="438E868D" w:rsidR="00107D7C" w:rsidRDefault="00107D7C" w:rsidP="00107D7C"/>
        </w:tc>
        <w:tc>
          <w:tcPr>
            <w:tcW w:w="1701" w:type="dxa"/>
            <w:tcBorders>
              <w:bottom w:val="single" w:sz="12" w:space="0" w:color="auto"/>
            </w:tcBorders>
          </w:tcPr>
          <w:p w14:paraId="2A820BE2" w14:textId="69D907F0" w:rsidR="00107D7C" w:rsidRDefault="00107D7C" w:rsidP="00063E26">
            <w:pPr>
              <w:jc w:val="center"/>
            </w:pPr>
            <w:r>
              <w:t>Lav</w:t>
            </w:r>
          </w:p>
        </w:tc>
        <w:tc>
          <w:tcPr>
            <w:tcW w:w="1985" w:type="dxa"/>
            <w:tcBorders>
              <w:bottom w:val="single" w:sz="12" w:space="0" w:color="auto"/>
            </w:tcBorders>
          </w:tcPr>
          <w:p w14:paraId="5A0EA99A" w14:textId="6AC41C20" w:rsidR="00107D7C" w:rsidRDefault="00107D7C" w:rsidP="00063E26">
            <w:pPr>
              <w:jc w:val="center"/>
            </w:pPr>
            <w:r>
              <w:t>Mellem</w:t>
            </w:r>
          </w:p>
        </w:tc>
        <w:tc>
          <w:tcPr>
            <w:tcW w:w="1836" w:type="dxa"/>
            <w:tcBorders>
              <w:bottom w:val="single" w:sz="12" w:space="0" w:color="auto"/>
            </w:tcBorders>
          </w:tcPr>
          <w:p w14:paraId="3344E899" w14:textId="77777777" w:rsidR="00107D7C" w:rsidRDefault="00107D7C" w:rsidP="00063E26">
            <w:pPr>
              <w:jc w:val="center"/>
            </w:pPr>
            <w:r>
              <w:t>Høj</w:t>
            </w:r>
          </w:p>
          <w:p w14:paraId="7F8D643D" w14:textId="46AE9989" w:rsidR="00107D7C" w:rsidRDefault="00107D7C" w:rsidP="00063E26">
            <w:pPr>
              <w:jc w:val="center"/>
            </w:pPr>
          </w:p>
        </w:tc>
      </w:tr>
      <w:tr w:rsidR="00107D7C" w14:paraId="326E75B7" w14:textId="77777777" w:rsidTr="00063E26">
        <w:tc>
          <w:tcPr>
            <w:tcW w:w="4106" w:type="dxa"/>
            <w:tcBorders>
              <w:top w:val="single" w:sz="12" w:space="0" w:color="auto"/>
            </w:tcBorders>
          </w:tcPr>
          <w:p w14:paraId="3AF02455" w14:textId="16509D17" w:rsidR="00107D7C" w:rsidRDefault="00107D7C" w:rsidP="00107D7C">
            <w:r>
              <w:t xml:space="preserve">Anbefalet </w:t>
            </w:r>
            <w:r w:rsidR="00665717">
              <w:t xml:space="preserve">overordnet </w:t>
            </w:r>
            <w:r>
              <w:t>distributionsform</w:t>
            </w:r>
          </w:p>
          <w:p w14:paraId="2CA748B7" w14:textId="77777777" w:rsidR="00107D7C" w:rsidRDefault="00107D7C" w:rsidP="00107D7C"/>
          <w:p w14:paraId="67174A65" w14:textId="29AEA972" w:rsidR="00107D7C" w:rsidRDefault="00107D7C" w:rsidP="00107D7C"/>
        </w:tc>
        <w:tc>
          <w:tcPr>
            <w:tcW w:w="1701" w:type="dxa"/>
            <w:tcBorders>
              <w:top w:val="single" w:sz="12" w:space="0" w:color="auto"/>
            </w:tcBorders>
          </w:tcPr>
          <w:p w14:paraId="038DFC95" w14:textId="68E2A003" w:rsidR="00107D7C" w:rsidRPr="00107D7C" w:rsidRDefault="00107D7C" w:rsidP="00063E26">
            <w:pPr>
              <w:jc w:val="center"/>
            </w:pPr>
            <w:r w:rsidRPr="00107D7C">
              <w:t>Eksport</w:t>
            </w:r>
          </w:p>
        </w:tc>
        <w:tc>
          <w:tcPr>
            <w:tcW w:w="1985" w:type="dxa"/>
            <w:tcBorders>
              <w:top w:val="single" w:sz="12" w:space="0" w:color="auto"/>
            </w:tcBorders>
          </w:tcPr>
          <w:p w14:paraId="791F8537" w14:textId="395B06AC" w:rsidR="00107D7C" w:rsidRPr="00107D7C" w:rsidRDefault="00107D7C" w:rsidP="00063E26">
            <w:pPr>
              <w:jc w:val="center"/>
            </w:pPr>
            <w:r w:rsidRPr="00107D7C">
              <w:t>Samarbejdsformer</w:t>
            </w:r>
          </w:p>
        </w:tc>
        <w:tc>
          <w:tcPr>
            <w:tcW w:w="1836" w:type="dxa"/>
            <w:tcBorders>
              <w:top w:val="single" w:sz="12" w:space="0" w:color="auto"/>
            </w:tcBorders>
          </w:tcPr>
          <w:p w14:paraId="49468BD0" w14:textId="292E3954" w:rsidR="00107D7C" w:rsidRPr="00107D7C" w:rsidRDefault="00107D7C" w:rsidP="00063E26">
            <w:pPr>
              <w:jc w:val="center"/>
            </w:pPr>
            <w:r w:rsidRPr="00107D7C">
              <w:t>Direkte investering</w:t>
            </w:r>
          </w:p>
        </w:tc>
      </w:tr>
      <w:tr w:rsidR="00107D7C" w14:paraId="6E399281" w14:textId="77777777" w:rsidTr="00665717">
        <w:tc>
          <w:tcPr>
            <w:tcW w:w="4106" w:type="dxa"/>
            <w:tcBorders>
              <w:bottom w:val="single" w:sz="12" w:space="0" w:color="auto"/>
            </w:tcBorders>
          </w:tcPr>
          <w:p w14:paraId="3436B40A" w14:textId="77777777" w:rsidR="00107D7C" w:rsidRDefault="00107D7C" w:rsidP="00107D7C">
            <w:r>
              <w:t>Eksempel</w:t>
            </w:r>
          </w:p>
          <w:p w14:paraId="398CFDBF" w14:textId="77777777" w:rsidR="00107D7C" w:rsidRDefault="00107D7C" w:rsidP="00107D7C"/>
          <w:p w14:paraId="2DB05E37" w14:textId="289D6734" w:rsidR="00107D7C" w:rsidRDefault="00107D7C" w:rsidP="00107D7C"/>
        </w:tc>
        <w:tc>
          <w:tcPr>
            <w:tcW w:w="1701" w:type="dxa"/>
            <w:tcBorders>
              <w:bottom w:val="single" w:sz="12" w:space="0" w:color="auto"/>
            </w:tcBorders>
          </w:tcPr>
          <w:p w14:paraId="621B3893" w14:textId="23EB6BCF" w:rsidR="00107D7C" w:rsidRDefault="00107D7C" w:rsidP="00063E26">
            <w:pPr>
              <w:jc w:val="center"/>
            </w:pPr>
            <w:r>
              <w:t>Agent, distributør, forhandler, online markedsplads</w:t>
            </w:r>
          </w:p>
        </w:tc>
        <w:tc>
          <w:tcPr>
            <w:tcW w:w="1985" w:type="dxa"/>
            <w:tcBorders>
              <w:bottom w:val="single" w:sz="12" w:space="0" w:color="auto"/>
            </w:tcBorders>
          </w:tcPr>
          <w:p w14:paraId="49563C03" w14:textId="70B1DC6E" w:rsidR="00107D7C" w:rsidRDefault="00063E26" w:rsidP="00063E26">
            <w:pPr>
              <w:jc w:val="center"/>
            </w:pPr>
            <w:r>
              <w:t>Franchising, licensproduktion, strategisk alliance, joint venture</w:t>
            </w:r>
          </w:p>
        </w:tc>
        <w:tc>
          <w:tcPr>
            <w:tcW w:w="1836" w:type="dxa"/>
            <w:tcBorders>
              <w:bottom w:val="single" w:sz="12" w:space="0" w:color="auto"/>
            </w:tcBorders>
          </w:tcPr>
          <w:p w14:paraId="0C492C6A" w14:textId="425FA5A2" w:rsidR="00107D7C" w:rsidRDefault="00063E26" w:rsidP="00063E26">
            <w:pPr>
              <w:jc w:val="center"/>
            </w:pPr>
            <w:r>
              <w:t>Salgsdatterselskab, egne sælgere, e-eksport gennem egen webshop</w:t>
            </w:r>
          </w:p>
        </w:tc>
      </w:tr>
      <w:tr w:rsidR="00665717" w14:paraId="7096CD03" w14:textId="77777777" w:rsidTr="00665717">
        <w:tc>
          <w:tcPr>
            <w:tcW w:w="4106" w:type="dxa"/>
            <w:tcBorders>
              <w:top w:val="single" w:sz="12" w:space="0" w:color="auto"/>
            </w:tcBorders>
            <w:shd w:val="clear" w:color="auto" w:fill="F2F2F2" w:themeFill="background1" w:themeFillShade="F2"/>
          </w:tcPr>
          <w:p w14:paraId="56BA6CF0" w14:textId="77777777" w:rsidR="00665717" w:rsidRDefault="00665717" w:rsidP="00107D7C">
            <w:r>
              <w:t>Samlet vurdering/anbefaling</w:t>
            </w:r>
          </w:p>
          <w:p w14:paraId="0A9F8390" w14:textId="77777777" w:rsidR="00665717" w:rsidRDefault="00665717" w:rsidP="00107D7C"/>
          <w:p w14:paraId="6329938E" w14:textId="77777777" w:rsidR="00665717" w:rsidRDefault="00665717" w:rsidP="00107D7C"/>
          <w:p w14:paraId="457CE244" w14:textId="77777777" w:rsidR="00665717" w:rsidRDefault="00665717" w:rsidP="00107D7C"/>
          <w:p w14:paraId="737E31A6" w14:textId="4D0EA280" w:rsidR="00665717" w:rsidRDefault="00665717" w:rsidP="00107D7C"/>
        </w:tc>
        <w:tc>
          <w:tcPr>
            <w:tcW w:w="1701" w:type="dxa"/>
            <w:tcBorders>
              <w:top w:val="single" w:sz="12" w:space="0" w:color="auto"/>
            </w:tcBorders>
            <w:shd w:val="clear" w:color="auto" w:fill="F2F2F2" w:themeFill="background1" w:themeFillShade="F2"/>
          </w:tcPr>
          <w:p w14:paraId="4B43A903" w14:textId="77777777" w:rsidR="00665717" w:rsidRDefault="00665717" w:rsidP="00063E26">
            <w:pPr>
              <w:jc w:val="center"/>
            </w:pPr>
          </w:p>
        </w:tc>
        <w:tc>
          <w:tcPr>
            <w:tcW w:w="1985" w:type="dxa"/>
            <w:tcBorders>
              <w:top w:val="single" w:sz="12" w:space="0" w:color="auto"/>
            </w:tcBorders>
            <w:shd w:val="clear" w:color="auto" w:fill="F2F2F2" w:themeFill="background1" w:themeFillShade="F2"/>
          </w:tcPr>
          <w:p w14:paraId="7DB7ADBB" w14:textId="77777777" w:rsidR="00665717" w:rsidRDefault="00665717" w:rsidP="00063E26">
            <w:pPr>
              <w:jc w:val="center"/>
            </w:pPr>
          </w:p>
        </w:tc>
        <w:tc>
          <w:tcPr>
            <w:tcW w:w="1836" w:type="dxa"/>
            <w:tcBorders>
              <w:top w:val="single" w:sz="12" w:space="0" w:color="auto"/>
            </w:tcBorders>
            <w:shd w:val="clear" w:color="auto" w:fill="F2F2F2" w:themeFill="background1" w:themeFillShade="F2"/>
          </w:tcPr>
          <w:p w14:paraId="0A90D061" w14:textId="77777777" w:rsidR="00665717" w:rsidRDefault="00665717" w:rsidP="00063E26">
            <w:pPr>
              <w:jc w:val="center"/>
            </w:pPr>
          </w:p>
        </w:tc>
      </w:tr>
    </w:tbl>
    <w:p w14:paraId="19853A73" w14:textId="4C516B53" w:rsidR="00107D7C" w:rsidRDefault="00107D7C">
      <w:r>
        <w:t xml:space="preserve"> </w:t>
      </w:r>
    </w:p>
    <w:sectPr w:rsidR="00107D7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2ACE" w14:textId="77777777" w:rsidR="00B11894" w:rsidRDefault="00B11894" w:rsidP="00EB6A35">
      <w:pPr>
        <w:spacing w:after="0" w:line="240" w:lineRule="auto"/>
      </w:pPr>
      <w:r>
        <w:separator/>
      </w:r>
    </w:p>
  </w:endnote>
  <w:endnote w:type="continuationSeparator" w:id="0">
    <w:p w14:paraId="163226B6" w14:textId="77777777" w:rsidR="00B11894" w:rsidRDefault="00B11894" w:rsidP="00EB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2810" w14:textId="77777777" w:rsidR="00B11894" w:rsidRDefault="00B11894" w:rsidP="00EB6A35">
      <w:pPr>
        <w:spacing w:after="0" w:line="240" w:lineRule="auto"/>
      </w:pPr>
      <w:r>
        <w:separator/>
      </w:r>
    </w:p>
  </w:footnote>
  <w:footnote w:type="continuationSeparator" w:id="0">
    <w:p w14:paraId="47322B8F" w14:textId="77777777" w:rsidR="00B11894" w:rsidRDefault="00B11894" w:rsidP="00EB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D35" w14:textId="77777777" w:rsidR="00EB6A35" w:rsidRPr="009D604B" w:rsidRDefault="00EB6A35" w:rsidP="00EB6A35">
    <w:pPr>
      <w:tabs>
        <w:tab w:val="right" w:pos="9639"/>
      </w:tabs>
      <w:spacing w:after="0"/>
    </w:pPr>
    <w:r>
      <w:rPr>
        <w:rFonts w:ascii="Verdana" w:hAnsi="Verdana"/>
        <w:b/>
        <w:sz w:val="28"/>
        <w:szCs w:val="28"/>
      </w:rPr>
      <w:t>International markedsføring, 7. udg.</w:t>
    </w:r>
    <w:r>
      <w:rPr>
        <w:rFonts w:ascii="Verdana" w:hAnsi="Verdana"/>
      </w:rPr>
      <w:tab/>
    </w:r>
    <w:r>
      <w:rPr>
        <w:rFonts w:ascii="Verdana" w:hAnsi="Verdana"/>
        <w:b/>
        <w:sz w:val="40"/>
        <w:szCs w:val="40"/>
      </w:rPr>
      <w:t>Trojka</w:t>
    </w:r>
  </w:p>
  <w:p w14:paraId="58304803" w14:textId="77777777" w:rsidR="00EB6A35" w:rsidRDefault="00EB6A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7F29"/>
    <w:multiLevelType w:val="hybridMultilevel"/>
    <w:tmpl w:val="43A0BC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96006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7C"/>
    <w:rsid w:val="00063E26"/>
    <w:rsid w:val="000831A3"/>
    <w:rsid w:val="00107D7C"/>
    <w:rsid w:val="00665717"/>
    <w:rsid w:val="00B11894"/>
    <w:rsid w:val="00EB6A35"/>
    <w:rsid w:val="00EC30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3D02"/>
  <w15:chartTrackingRefBased/>
  <w15:docId w15:val="{C4CD7F1E-B2CA-4B79-89A8-0F6E7DF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31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rktjshfte">
    <w:name w:val="Værktøjshæfte"/>
    <w:basedOn w:val="Overskrift1"/>
    <w:link w:val="VrktjshfteTegn"/>
    <w:qFormat/>
    <w:rsid w:val="000831A3"/>
    <w:rPr>
      <w:rFonts w:ascii="Lucida Sans" w:hAnsi="Lucida Sans"/>
      <w:b/>
      <w:bCs/>
      <w:color w:val="000000" w:themeColor="text1"/>
    </w:rPr>
  </w:style>
  <w:style w:type="character" w:customStyle="1" w:styleId="VrktjshfteTegn">
    <w:name w:val="Værktøjshæfte Tegn"/>
    <w:basedOn w:val="Overskrift1Tegn"/>
    <w:link w:val="Vrktjshfte"/>
    <w:rsid w:val="000831A3"/>
    <w:rPr>
      <w:rFonts w:ascii="Lucida Sans" w:eastAsiaTheme="majorEastAsia" w:hAnsi="Lucida Sans" w:cstheme="majorBidi"/>
      <w:b/>
      <w:bCs/>
      <w:color w:val="000000" w:themeColor="text1"/>
      <w:sz w:val="32"/>
      <w:szCs w:val="32"/>
    </w:rPr>
  </w:style>
  <w:style w:type="character" w:customStyle="1" w:styleId="Overskrift1Tegn">
    <w:name w:val="Overskrift 1 Tegn"/>
    <w:basedOn w:val="Standardskrifttypeiafsnit"/>
    <w:link w:val="Overskrift1"/>
    <w:uiPriority w:val="9"/>
    <w:rsid w:val="000831A3"/>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10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65717"/>
    <w:pPr>
      <w:ind w:left="720"/>
      <w:contextualSpacing/>
    </w:pPr>
  </w:style>
  <w:style w:type="paragraph" w:styleId="Sidehoved">
    <w:name w:val="header"/>
    <w:basedOn w:val="Normal"/>
    <w:link w:val="SidehovedTegn"/>
    <w:uiPriority w:val="99"/>
    <w:unhideWhenUsed/>
    <w:rsid w:val="00EB6A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6A35"/>
  </w:style>
  <w:style w:type="paragraph" w:styleId="Sidefod">
    <w:name w:val="footer"/>
    <w:basedOn w:val="Normal"/>
    <w:link w:val="SidefodTegn"/>
    <w:uiPriority w:val="99"/>
    <w:unhideWhenUsed/>
    <w:rsid w:val="00EB6A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135</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Risgaard Olsen (lektor – mrol@eaaa.dk)</dc:creator>
  <cp:keywords/>
  <dc:description/>
  <cp:lastModifiedBy>Niels Vestergaard Olsen</cp:lastModifiedBy>
  <cp:revision>2</cp:revision>
  <dcterms:created xsi:type="dcterms:W3CDTF">2023-02-05T13:49:00Z</dcterms:created>
  <dcterms:modified xsi:type="dcterms:W3CDTF">2023-08-08T12:23:00Z</dcterms:modified>
</cp:coreProperties>
</file>