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532A" w14:paraId="40051FA2" w14:textId="77777777" w:rsidTr="0058532A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0FC20" w14:textId="168F1491" w:rsidR="0058532A" w:rsidRDefault="0058532A">
            <w:pPr>
              <w:jc w:val="center"/>
              <w:rPr>
                <w:b/>
                <w:bCs/>
              </w:rPr>
            </w:pPr>
            <w:r w:rsidRPr="00892CE1">
              <w:rPr>
                <w:b/>
                <w:bCs/>
              </w:rPr>
              <w:t>Mulighedsanalyse</w:t>
            </w:r>
          </w:p>
        </w:tc>
      </w:tr>
      <w:tr w:rsidR="0058532A" w14:paraId="6D0E9AAA" w14:textId="77777777" w:rsidTr="007636C0">
        <w:trPr>
          <w:trHeight w:val="1003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7F4" w14:textId="77777777" w:rsidR="0058532A" w:rsidRDefault="0058532A" w:rsidP="0058532A">
            <w:r w:rsidRPr="00103220">
              <w:rPr>
                <w:b/>
                <w:bCs/>
              </w:rPr>
              <w:t>Formål:</w:t>
            </w:r>
            <w:r>
              <w:t xml:space="preserve"> </w:t>
            </w:r>
          </w:p>
          <w:p w14:paraId="0CF4668F" w14:textId="292A341E" w:rsidR="0058532A" w:rsidRDefault="0058532A" w:rsidP="0058532A">
            <w:r>
              <w:t>At undersøge projektet muligheder samt sandsynligheden og konsekvensen af</w:t>
            </w:r>
            <w:r w:rsidR="00F23177">
              <w:t>,</w:t>
            </w:r>
            <w:r>
              <w:t xml:space="preserve"> at de indtræffer </w:t>
            </w:r>
            <w:r w:rsidR="000324B2">
              <w:t xml:space="preserve">samt </w:t>
            </w:r>
            <w:r>
              <w:t>vurdere, hvilke tiltag der kan fremme de identificerede muligheder</w:t>
            </w:r>
            <w:r w:rsidR="000324B2">
              <w:t>.</w:t>
            </w:r>
          </w:p>
          <w:p w14:paraId="24BFCC55" w14:textId="272D1552" w:rsidR="0058532A" w:rsidRDefault="0058532A"/>
        </w:tc>
      </w:tr>
      <w:tr w:rsidR="0058532A" w14:paraId="43A50532" w14:textId="77777777" w:rsidTr="0058532A">
        <w:trPr>
          <w:trHeight w:val="653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F38" w14:textId="77777777" w:rsidR="0058532A" w:rsidRDefault="0058532A" w:rsidP="0058532A">
            <w:r w:rsidRPr="00103220">
              <w:rPr>
                <w:b/>
                <w:bCs/>
              </w:rPr>
              <w:t>Indhold</w:t>
            </w:r>
            <w:r>
              <w:t xml:space="preserve">: </w:t>
            </w:r>
          </w:p>
          <w:p w14:paraId="79E74CC6" w14:textId="34EB746A" w:rsidR="0058532A" w:rsidRDefault="0058532A">
            <w:r>
              <w:t>Mulighedsanalysen tager udgangspunkt i de identificerede styrker og muligheder i SWOT-analysen</w:t>
            </w:r>
            <w:r w:rsidR="000324B2">
              <w:t>.</w:t>
            </w:r>
            <w:r>
              <w:t xml:space="preserve"> </w:t>
            </w:r>
          </w:p>
          <w:p w14:paraId="12AABA05" w14:textId="77777777" w:rsidR="007636C0" w:rsidRDefault="007636C0" w:rsidP="007636C0">
            <w:r>
              <w:t xml:space="preserve">I modsætning til risikoanalysen, så handler det i mulighedsanalysen om at sørge for at en hændelse indtræffer, ikke at undgå den. For at undersøge disse muligheder arbejdes der med en mulighedsfaktor: </w:t>
            </w:r>
          </w:p>
          <w:p w14:paraId="3AAF1FD1" w14:textId="5198EE88" w:rsidR="007636C0" w:rsidRDefault="007636C0" w:rsidP="007636C0">
            <w:r>
              <w:t xml:space="preserve">Mulighedsfaktor: </w:t>
            </w:r>
            <w:r w:rsidR="002E02DD">
              <w:t xml:space="preserve"> </w:t>
            </w:r>
            <w:r>
              <w:t>S</w:t>
            </w:r>
            <w:r w:rsidR="002E02DD">
              <w:t xml:space="preserve"> × </w:t>
            </w:r>
            <w:r>
              <w:t xml:space="preserve">K, hvor: </w:t>
            </w:r>
            <w:r>
              <w:tab/>
            </w:r>
          </w:p>
          <w:p w14:paraId="6B647222" w14:textId="77777777" w:rsidR="007636C0" w:rsidRDefault="007636C0" w:rsidP="007636C0"/>
          <w:p w14:paraId="077B810F" w14:textId="77777777" w:rsidR="007636C0" w:rsidRDefault="007636C0" w:rsidP="007636C0">
            <w:pPr>
              <w:pStyle w:val="Listeafsnit"/>
              <w:numPr>
                <w:ilvl w:val="0"/>
                <w:numId w:val="6"/>
              </w:numPr>
            </w:pPr>
            <w:r>
              <w:t>S = Sandsynligheden for at en mulighed opstår</w:t>
            </w:r>
          </w:p>
          <w:p w14:paraId="63229335" w14:textId="77777777" w:rsidR="007636C0" w:rsidRDefault="007636C0" w:rsidP="007636C0">
            <w:pPr>
              <w:pStyle w:val="Listeafsnit"/>
              <w:numPr>
                <w:ilvl w:val="0"/>
                <w:numId w:val="6"/>
              </w:numPr>
            </w:pPr>
            <w:r>
              <w:t>K = Konsekvensen for projektet, hvis muligheden forfølges</w:t>
            </w:r>
          </w:p>
          <w:p w14:paraId="530A0D17" w14:textId="58AC4010" w:rsidR="007636C0" w:rsidRPr="0058532A" w:rsidRDefault="007636C0" w:rsidP="007636C0">
            <w:pPr>
              <w:pStyle w:val="Listeafsnit"/>
              <w:ind w:left="360"/>
            </w:pPr>
          </w:p>
        </w:tc>
      </w:tr>
      <w:tr w:rsidR="0058532A" w14:paraId="66EE7C4B" w14:textId="77777777" w:rsidTr="0058532A">
        <w:trPr>
          <w:trHeight w:val="140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92B7" w14:textId="71031A18" w:rsidR="0058532A" w:rsidRDefault="0058532A" w:rsidP="0058532A">
            <w:pPr>
              <w:rPr>
                <w:b/>
                <w:bCs/>
              </w:rPr>
            </w:pPr>
            <w:r w:rsidRPr="009D4EFB">
              <w:rPr>
                <w:b/>
                <w:bCs/>
              </w:rPr>
              <w:t>Proces:</w:t>
            </w:r>
          </w:p>
          <w:p w14:paraId="1F0CFE09" w14:textId="507A67B9" w:rsidR="00F23177" w:rsidRDefault="00F23177" w:rsidP="0058532A"/>
          <w:p w14:paraId="578F2432" w14:textId="33408CD9" w:rsidR="00F23177" w:rsidRDefault="00F23177" w:rsidP="00F23177">
            <w:pPr>
              <w:pStyle w:val="Listeafsnit"/>
              <w:numPr>
                <w:ilvl w:val="0"/>
                <w:numId w:val="7"/>
              </w:numPr>
            </w:pPr>
            <w:r>
              <w:t>Arbejd sammen to-og-to eller i grupper</w:t>
            </w:r>
          </w:p>
          <w:p w14:paraId="23A3D8E4" w14:textId="77777777" w:rsidR="00F23177" w:rsidRDefault="00F23177" w:rsidP="00DB6502">
            <w:pPr>
              <w:pStyle w:val="Listeafsnit"/>
              <w:numPr>
                <w:ilvl w:val="0"/>
                <w:numId w:val="7"/>
              </w:numPr>
            </w:pPr>
            <w:r>
              <w:t xml:space="preserve">På baggrund af de identificerede </w:t>
            </w:r>
            <w:r w:rsidRPr="00E66E7B">
              <w:rPr>
                <w:b/>
                <w:bCs/>
              </w:rPr>
              <w:t xml:space="preserve">muligheder </w:t>
            </w:r>
            <w:r>
              <w:t xml:space="preserve">og </w:t>
            </w:r>
            <w:r w:rsidRPr="00E66E7B">
              <w:rPr>
                <w:b/>
                <w:bCs/>
              </w:rPr>
              <w:t>styrker</w:t>
            </w:r>
            <w:r>
              <w:t xml:space="preserve"> i SWOT-analysen vurderes nu sandsynligheden for at en mulighed finder sted og konsekvensen, hvis det sker</w:t>
            </w:r>
          </w:p>
          <w:p w14:paraId="02EA16DA" w14:textId="1479E71C" w:rsidR="00F23177" w:rsidRDefault="00F23177" w:rsidP="00DB6502">
            <w:pPr>
              <w:pStyle w:val="Listeafsnit"/>
              <w:numPr>
                <w:ilvl w:val="0"/>
                <w:numId w:val="7"/>
              </w:numPr>
            </w:pPr>
            <w:r>
              <w:t>Herefter beregnes S*K for den valgte mulighed, idet vurderingen af S og K baseres på kriterierne nedenfor:</w:t>
            </w:r>
          </w:p>
          <w:p w14:paraId="4A2A94FC" w14:textId="3C965EFF" w:rsidR="007636C0" w:rsidRPr="00C70086" w:rsidRDefault="007636C0" w:rsidP="0058532A">
            <w:pPr>
              <w:rPr>
                <w:b/>
                <w:bCs/>
              </w:rPr>
            </w:pPr>
          </w:p>
          <w:p w14:paraId="54749673" w14:textId="77777777" w:rsidR="0058532A" w:rsidRDefault="0058532A" w:rsidP="0058532A">
            <w:r>
              <w:t>Hvis faktor S*K &gt;15: Iværksæt et tiltag</w:t>
            </w:r>
          </w:p>
          <w:p w14:paraId="17BCA168" w14:textId="77777777" w:rsidR="0058532A" w:rsidRDefault="0058532A" w:rsidP="0058532A">
            <w:r>
              <w:t>Hvis faktor S*K ligger mellem 10 og 15: Muligt tiltag</w:t>
            </w:r>
          </w:p>
          <w:p w14:paraId="3A88CE46" w14:textId="1A42D5DA" w:rsidR="0058532A" w:rsidRDefault="0058532A" w:rsidP="0058532A">
            <w:r>
              <w:t>Hvis faktor S*K &lt; 10: Ignorer</w:t>
            </w:r>
          </w:p>
          <w:p w14:paraId="1112DE3F" w14:textId="77777777" w:rsidR="0058532A" w:rsidRDefault="0058532A" w:rsidP="0058532A"/>
          <w:p w14:paraId="2E64AA85" w14:textId="62FD9611" w:rsidR="0058532A" w:rsidRDefault="0058532A" w:rsidP="0058532A"/>
        </w:tc>
      </w:tr>
      <w:tr w:rsidR="0058532A" w14:paraId="1270F54A" w14:textId="77777777" w:rsidTr="00140521">
        <w:tc>
          <w:tcPr>
            <w:tcW w:w="4814" w:type="dxa"/>
            <w:shd w:val="clear" w:color="auto" w:fill="FFFFFF" w:themeFill="background1"/>
          </w:tcPr>
          <w:p w14:paraId="11A4AAA4" w14:textId="4A54E148" w:rsidR="0058532A" w:rsidRDefault="0058532A" w:rsidP="00140521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Ide</w:t>
            </w:r>
            <w:r w:rsidR="000324B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vurdering af S </w:t>
            </w:r>
            <w:r w:rsidR="00333EBD">
              <w:rPr>
                <w:b/>
                <w:bCs/>
              </w:rPr>
              <w:t xml:space="preserve">(sandsynlighed) </w:t>
            </w:r>
            <w:r>
              <w:rPr>
                <w:b/>
                <w:bCs/>
              </w:rPr>
              <w:t xml:space="preserve">baseres på: </w:t>
            </w:r>
          </w:p>
          <w:p w14:paraId="7533230D" w14:textId="77777777" w:rsidR="0058532A" w:rsidRDefault="0058532A" w:rsidP="00140521">
            <w:pPr>
              <w:spacing w:line="259" w:lineRule="auto"/>
              <w:rPr>
                <w:b/>
                <w:bCs/>
              </w:rPr>
            </w:pPr>
          </w:p>
          <w:p w14:paraId="45D4A2E2" w14:textId="77777777" w:rsidR="0058532A" w:rsidRPr="0058532A" w:rsidRDefault="0058532A" w:rsidP="0014052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Der er r</w:t>
            </w:r>
            <w:r w:rsidRPr="00C70086">
              <w:t>inge sandsynlighed</w:t>
            </w:r>
            <w:r>
              <w:t xml:space="preserve"> for at muligheden opstår</w:t>
            </w:r>
            <w:r w:rsidRPr="00C70086">
              <w:t xml:space="preserve"> (&lt; 10%)</w:t>
            </w:r>
          </w:p>
          <w:p w14:paraId="09798701" w14:textId="77777777" w:rsidR="0058532A" w:rsidRPr="0058532A" w:rsidRDefault="0058532A" w:rsidP="0014052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Der er l</w:t>
            </w:r>
            <w:r w:rsidRPr="00C70086">
              <w:t>av sandsynlighed</w:t>
            </w:r>
            <w:r>
              <w:t xml:space="preserve"> for at muligheden opstår</w:t>
            </w:r>
            <w:r w:rsidRPr="00C70086">
              <w:t xml:space="preserve"> (10-30%)</w:t>
            </w:r>
          </w:p>
          <w:p w14:paraId="163CEF1B" w14:textId="77777777" w:rsidR="0058532A" w:rsidRPr="0058532A" w:rsidRDefault="0058532A" w:rsidP="0014052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Der er m</w:t>
            </w:r>
            <w:r w:rsidRPr="00C70086">
              <w:t>iddelhøj sandsynlighed</w:t>
            </w:r>
            <w:r>
              <w:t xml:space="preserve"> for at muligheden opstår</w:t>
            </w:r>
            <w:r w:rsidRPr="00C70086">
              <w:t xml:space="preserve"> (30-60%)</w:t>
            </w:r>
          </w:p>
          <w:p w14:paraId="3AADAC0F" w14:textId="77777777" w:rsidR="0058532A" w:rsidRPr="0058532A" w:rsidRDefault="0058532A" w:rsidP="0014052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C70086">
              <w:t xml:space="preserve">Der er høj sandsynlighed </w:t>
            </w:r>
            <w:r>
              <w:t xml:space="preserve">for at muligheden opstår </w:t>
            </w:r>
            <w:r w:rsidRPr="00C70086">
              <w:t>(60-90%)</w:t>
            </w:r>
          </w:p>
          <w:p w14:paraId="33AE9FB4" w14:textId="77777777" w:rsidR="0058532A" w:rsidRPr="0058532A" w:rsidRDefault="0058532A" w:rsidP="0014052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Det er sikkert at muligheden opstår</w:t>
            </w:r>
            <w:r w:rsidRPr="00C70086">
              <w:t xml:space="preserve"> (&gt; 90%)</w:t>
            </w:r>
          </w:p>
          <w:p w14:paraId="4D319794" w14:textId="77777777" w:rsidR="0058532A" w:rsidRDefault="0058532A" w:rsidP="00140521"/>
        </w:tc>
        <w:tc>
          <w:tcPr>
            <w:tcW w:w="4814" w:type="dxa"/>
            <w:shd w:val="clear" w:color="auto" w:fill="FFFFFF" w:themeFill="background1"/>
          </w:tcPr>
          <w:p w14:paraId="0290E4C8" w14:textId="4B555DA8" w:rsidR="0058532A" w:rsidRDefault="0058532A" w:rsidP="00140521">
            <w:pPr>
              <w:rPr>
                <w:b/>
                <w:bCs/>
              </w:rPr>
            </w:pPr>
            <w:r>
              <w:rPr>
                <w:b/>
                <w:bCs/>
              </w:rPr>
              <w:t>Ide</w:t>
            </w:r>
            <w:r w:rsidR="000324B2">
              <w:rPr>
                <w:b/>
                <w:bCs/>
              </w:rPr>
              <w:t>-</w:t>
            </w:r>
            <w:r>
              <w:rPr>
                <w:b/>
                <w:bCs/>
              </w:rPr>
              <w:t>v</w:t>
            </w:r>
            <w:r w:rsidRPr="00C70086">
              <w:rPr>
                <w:b/>
                <w:bCs/>
              </w:rPr>
              <w:t>urdering af K</w:t>
            </w:r>
            <w:r w:rsidR="00333EBD">
              <w:rPr>
                <w:b/>
                <w:bCs/>
              </w:rPr>
              <w:t xml:space="preserve"> (konsekvens)</w:t>
            </w:r>
            <w:r w:rsidRPr="00C70086">
              <w:rPr>
                <w:b/>
                <w:bCs/>
              </w:rPr>
              <w:t xml:space="preserve"> baseres på:</w:t>
            </w:r>
          </w:p>
          <w:p w14:paraId="0BA5823C" w14:textId="77777777" w:rsidR="0058532A" w:rsidRDefault="0058532A" w:rsidP="00140521">
            <w:pPr>
              <w:rPr>
                <w:b/>
                <w:bCs/>
              </w:rPr>
            </w:pPr>
          </w:p>
          <w:p w14:paraId="6781E667" w14:textId="77777777" w:rsidR="0058532A" w:rsidRPr="0058532A" w:rsidRDefault="0058532A" w:rsidP="00140521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C70086">
              <w:t xml:space="preserve">Begrænset effekt – </w:t>
            </w:r>
            <w:r>
              <w:t>uanseelig</w:t>
            </w:r>
            <w:r w:rsidRPr="00C70086">
              <w:t xml:space="preserve"> positiv betydning</w:t>
            </w:r>
          </w:p>
          <w:p w14:paraId="7D70ED7F" w14:textId="6F76F18F" w:rsidR="0058532A" w:rsidRPr="0058532A" w:rsidRDefault="0058532A" w:rsidP="00140521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C70086">
              <w:t>F</w:t>
            </w:r>
            <w:r w:rsidR="00333EBD">
              <w:t>å</w:t>
            </w:r>
            <w:r>
              <w:t xml:space="preserve"> </w:t>
            </w:r>
            <w:r w:rsidRPr="00C70086">
              <w:t>dele af projektet påvirkes positivt, men</w:t>
            </w:r>
            <w:r w:rsidR="00333EBD">
              <w:t>s</w:t>
            </w:r>
            <w:r w:rsidRPr="00C70086">
              <w:t xml:space="preserve"> </w:t>
            </w:r>
            <w:r>
              <w:t xml:space="preserve">den overordnede </w:t>
            </w:r>
            <w:r w:rsidRPr="00C70086">
              <w:t>ramme overholdes</w:t>
            </w:r>
          </w:p>
          <w:p w14:paraId="70542E39" w14:textId="411DEF63" w:rsidR="0058532A" w:rsidRPr="0058532A" w:rsidRDefault="0058532A" w:rsidP="00140521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C70086">
              <w:t>Projektet påvirkes positivt, og totalrammen for projektet kan nemmere holdes</w:t>
            </w:r>
          </w:p>
          <w:p w14:paraId="687E421B" w14:textId="77777777" w:rsidR="0058532A" w:rsidRPr="0058532A" w:rsidRDefault="0058532A" w:rsidP="00140521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C70086">
              <w:t>Projektets påvirkes meget positivt og planer kan/skal evt. reorganiseres</w:t>
            </w:r>
          </w:p>
          <w:p w14:paraId="4EBAFA52" w14:textId="77777777" w:rsidR="0058532A" w:rsidRPr="0058532A" w:rsidRDefault="0058532A" w:rsidP="00140521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C70086">
              <w:t>Projektet får helt nye muligheder – måle</w:t>
            </w:r>
            <w:r>
              <w:t>ne</w:t>
            </w:r>
            <w:r w:rsidRPr="00C70086">
              <w:t xml:space="preserve"> skal evt. omformuler</w:t>
            </w:r>
            <w:r>
              <w:t>es</w:t>
            </w:r>
          </w:p>
          <w:p w14:paraId="762206EF" w14:textId="77777777" w:rsidR="0058532A" w:rsidRDefault="0058532A" w:rsidP="00140521"/>
        </w:tc>
      </w:tr>
    </w:tbl>
    <w:p w14:paraId="5B3F1F11" w14:textId="77777777" w:rsidR="009D4EFB" w:rsidRDefault="009D4EFB" w:rsidP="00EB3167">
      <w:pPr>
        <w:rPr>
          <w:b/>
          <w:bCs/>
        </w:rPr>
        <w:sectPr w:rsidR="009D4EFB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15ED85D" w14:textId="32A0BB53" w:rsidR="00103220" w:rsidRPr="00103220" w:rsidRDefault="00103220" w:rsidP="00EB3167">
      <w:pPr>
        <w:rPr>
          <w:b/>
          <w:bCs/>
        </w:rPr>
      </w:pPr>
      <w:r w:rsidRPr="00103220">
        <w:rPr>
          <w:b/>
          <w:bCs/>
        </w:rPr>
        <w:lastRenderedPageBreak/>
        <w:t>Skema til udfyldelse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90"/>
        <w:gridCol w:w="1415"/>
        <w:gridCol w:w="1372"/>
        <w:gridCol w:w="1593"/>
        <w:gridCol w:w="1311"/>
        <w:gridCol w:w="1394"/>
        <w:gridCol w:w="1253"/>
      </w:tblGrid>
      <w:tr w:rsidR="00EB3167" w:rsidRPr="00546B1E" w14:paraId="6DC82124" w14:textId="77777777" w:rsidTr="00956489">
        <w:trPr>
          <w:trHeight w:val="561"/>
        </w:trPr>
        <w:tc>
          <w:tcPr>
            <w:tcW w:w="9628" w:type="dxa"/>
            <w:gridSpan w:val="7"/>
            <w:shd w:val="clear" w:color="auto" w:fill="D9D9D9" w:themeFill="background1" w:themeFillShade="D9"/>
            <w:vAlign w:val="center"/>
          </w:tcPr>
          <w:p w14:paraId="6E9F3BDB" w14:textId="77777777" w:rsidR="00EB3167" w:rsidRPr="00546B1E" w:rsidRDefault="00EB3167" w:rsidP="009564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Projektets mulighedsoversigt</w:t>
            </w:r>
          </w:p>
        </w:tc>
      </w:tr>
      <w:tr w:rsidR="00103220" w:rsidRPr="00546B1E" w14:paraId="71350D9C" w14:textId="77777777" w:rsidTr="00956489"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31AC412A" w14:textId="77777777" w:rsidR="00EB3167" w:rsidRPr="00103220" w:rsidRDefault="00092898" w:rsidP="00956489">
            <w:pPr>
              <w:tabs>
                <w:tab w:val="left" w:pos="658"/>
              </w:tabs>
              <w:spacing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Styrker (S) og </w:t>
            </w:r>
            <w:r w:rsidR="00103220"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</w:t>
            </w:r>
            <w:r w:rsidR="00EB3167"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uligheder (O) hentet fra SWOT- analysen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84CAF11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Sandsynlig</w:t>
            </w:r>
            <w:r w:rsidR="0009289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hed</w:t>
            </w: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for at hændelsen indtræffer (S)</w:t>
            </w:r>
          </w:p>
          <w:p w14:paraId="70E4EB9A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Cs/>
                <w:sz w:val="20"/>
                <w:szCs w:val="20"/>
              </w:rPr>
              <w:t>(Vurdering fra 1 til 5)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192F5747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Positiv </w:t>
            </w:r>
            <w:r w:rsid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</w:t>
            </w: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onsekvens hvis hændelsen indtræffer (K)</w:t>
            </w:r>
          </w:p>
          <w:p w14:paraId="4833FAA9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Cs/>
                <w:sz w:val="20"/>
                <w:szCs w:val="20"/>
              </w:rPr>
              <w:t>(Vurdering fra</w:t>
            </w:r>
          </w:p>
          <w:p w14:paraId="0D240442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Cs/>
                <w:sz w:val="20"/>
                <w:szCs w:val="20"/>
              </w:rPr>
              <w:t>1 til 5)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39C409CE" w14:textId="77777777" w:rsidR="00EB3167" w:rsidRPr="00103220" w:rsidRDefault="00103220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Muligheds</w:t>
            </w:r>
            <w:r w:rsidR="00EB3167"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faktor</w:t>
            </w:r>
          </w:p>
          <w:p w14:paraId="30B8F5A9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(S x K)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2B5155C" w14:textId="77777777" w:rsidR="00EB3167" w:rsidRPr="00103220" w:rsidRDefault="00103220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sz w:val="20"/>
                <w:szCs w:val="20"/>
              </w:rPr>
              <w:t>Tiltag der f</w:t>
            </w:r>
            <w:r w:rsidR="00EB3167" w:rsidRPr="00103220">
              <w:rPr>
                <w:rFonts w:ascii="Calibri" w:eastAsia="Calibri" w:hAnsi="Calibri" w:cs="Times New Roman"/>
                <w:b/>
                <w:sz w:val="20"/>
                <w:szCs w:val="20"/>
              </w:rPr>
              <w:t>orøg</w:t>
            </w:r>
            <w:r w:rsidRPr="00103220">
              <w:rPr>
                <w:rFonts w:ascii="Calibri" w:eastAsia="Calibri" w:hAnsi="Calibri" w:cs="Times New Roman"/>
                <w:b/>
                <w:sz w:val="20"/>
                <w:szCs w:val="20"/>
              </w:rPr>
              <w:t>er</w:t>
            </w:r>
          </w:p>
          <w:p w14:paraId="38013068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sand- synlighed</w:t>
            </w:r>
            <w:r w:rsidR="00103220"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20AAD249" w14:textId="77777777" w:rsidR="00EB3167" w:rsidRPr="00103220" w:rsidRDefault="00103220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Tiltag der f</w:t>
            </w:r>
            <w:r w:rsidR="00EB3167"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orøg</w:t>
            </w: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er</w:t>
            </w:r>
          </w:p>
          <w:p w14:paraId="5451FF74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konsekvens</w:t>
            </w:r>
            <w:r w:rsidR="00103220"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8C1E32C" w14:textId="77777777" w:rsidR="00EB3167" w:rsidRPr="00103220" w:rsidRDefault="00EB3167" w:rsidP="0095648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Omkost-ninger</w:t>
            </w:r>
            <w:proofErr w:type="spellEnd"/>
            <w:r w:rsidRP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10322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forbundet med tiltaget</w:t>
            </w:r>
          </w:p>
        </w:tc>
      </w:tr>
      <w:tr w:rsidR="00103220" w:rsidRPr="00546B1E" w14:paraId="7BAC0836" w14:textId="77777777" w:rsidTr="00956489">
        <w:trPr>
          <w:trHeight w:val="1644"/>
        </w:trPr>
        <w:tc>
          <w:tcPr>
            <w:tcW w:w="1351" w:type="dxa"/>
          </w:tcPr>
          <w:p w14:paraId="1B5818D4" w14:textId="77777777" w:rsidR="00EB3167" w:rsidRPr="00546B1E" w:rsidRDefault="00092898" w:rsidP="009564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</w:t>
            </w:r>
            <w:r w:rsidR="00103220">
              <w:rPr>
                <w:rFonts w:ascii="Calibri" w:eastAsia="Calibri" w:hAnsi="Calibri" w:cs="Times New Roman"/>
                <w:b/>
              </w:rPr>
              <w:t>1…</w:t>
            </w:r>
          </w:p>
        </w:tc>
        <w:tc>
          <w:tcPr>
            <w:tcW w:w="1350" w:type="dxa"/>
            <w:vAlign w:val="center"/>
          </w:tcPr>
          <w:p w14:paraId="1DBD39EF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7F645326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46D6C407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382B17AF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683877ED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595DB9C1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03220" w:rsidRPr="00546B1E" w14:paraId="6F151A65" w14:textId="77777777" w:rsidTr="00956489">
        <w:trPr>
          <w:trHeight w:val="1644"/>
        </w:trPr>
        <w:tc>
          <w:tcPr>
            <w:tcW w:w="1351" w:type="dxa"/>
          </w:tcPr>
          <w:p w14:paraId="11C3FD6D" w14:textId="77777777" w:rsidR="00EB3167" w:rsidRPr="00546B1E" w:rsidRDefault="00092898" w:rsidP="009564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</w:t>
            </w:r>
            <w:r w:rsidR="00103220">
              <w:rPr>
                <w:rFonts w:ascii="Calibri" w:eastAsia="Calibri" w:hAnsi="Calibri" w:cs="Times New Roman"/>
                <w:b/>
              </w:rPr>
              <w:t>2</w:t>
            </w:r>
            <w:r w:rsidR="00EB3167" w:rsidRPr="00546B1E">
              <w:rPr>
                <w:rFonts w:ascii="Calibri" w:eastAsia="Calibri" w:hAnsi="Calibri" w:cs="Times New Roman"/>
                <w:b/>
              </w:rPr>
              <w:t xml:space="preserve"> ...</w:t>
            </w:r>
          </w:p>
        </w:tc>
        <w:tc>
          <w:tcPr>
            <w:tcW w:w="1350" w:type="dxa"/>
            <w:vAlign w:val="center"/>
          </w:tcPr>
          <w:p w14:paraId="26DDF12D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2B7A1621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05AFAE1C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3FB70B8A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6C427CC7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4DB9E1B7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03220" w:rsidRPr="00546B1E" w14:paraId="63CB553C" w14:textId="77777777" w:rsidTr="00956489">
        <w:trPr>
          <w:trHeight w:val="1644"/>
        </w:trPr>
        <w:tc>
          <w:tcPr>
            <w:tcW w:w="1351" w:type="dxa"/>
          </w:tcPr>
          <w:p w14:paraId="17A28AA2" w14:textId="77777777" w:rsidR="00EB3167" w:rsidRPr="00546B1E" w:rsidRDefault="00092898" w:rsidP="009564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</w:t>
            </w:r>
            <w:r w:rsidR="00EB3167" w:rsidRPr="00546B1E">
              <w:rPr>
                <w:rFonts w:ascii="Calibri" w:eastAsia="Calibri" w:hAnsi="Calibri" w:cs="Times New Roman"/>
                <w:b/>
              </w:rPr>
              <w:t>3 ...</w:t>
            </w:r>
          </w:p>
        </w:tc>
        <w:tc>
          <w:tcPr>
            <w:tcW w:w="1350" w:type="dxa"/>
            <w:vAlign w:val="center"/>
          </w:tcPr>
          <w:p w14:paraId="51AD18BB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789A9A64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5E21F413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579D5F95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4B68B96F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0B9EBD28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03220" w:rsidRPr="00546B1E" w14:paraId="41BFFC24" w14:textId="77777777" w:rsidTr="00956489">
        <w:trPr>
          <w:trHeight w:val="1644"/>
        </w:trPr>
        <w:tc>
          <w:tcPr>
            <w:tcW w:w="1351" w:type="dxa"/>
          </w:tcPr>
          <w:p w14:paraId="0A91D75C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</w:t>
            </w:r>
            <w:r w:rsidR="00103220">
              <w:rPr>
                <w:rFonts w:ascii="Calibri" w:eastAsia="Calibri" w:hAnsi="Calibri" w:cs="Times New Roman"/>
                <w:b/>
              </w:rPr>
              <w:t>4</w:t>
            </w:r>
            <w:r w:rsidRPr="00546B1E">
              <w:rPr>
                <w:rFonts w:ascii="Calibri" w:eastAsia="Calibri" w:hAnsi="Calibri" w:cs="Times New Roman"/>
                <w:b/>
              </w:rPr>
              <w:t xml:space="preserve"> …</w:t>
            </w:r>
          </w:p>
        </w:tc>
        <w:tc>
          <w:tcPr>
            <w:tcW w:w="1350" w:type="dxa"/>
            <w:vAlign w:val="center"/>
          </w:tcPr>
          <w:p w14:paraId="17FFA1DE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44F17307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7DD6A1EA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2E0E8E10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7F6CBF9E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0A001F5D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03220" w:rsidRPr="00546B1E" w14:paraId="6EAA7C81" w14:textId="77777777" w:rsidTr="00956489">
        <w:trPr>
          <w:trHeight w:val="1644"/>
        </w:trPr>
        <w:tc>
          <w:tcPr>
            <w:tcW w:w="1351" w:type="dxa"/>
          </w:tcPr>
          <w:p w14:paraId="7D38C43F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</w:t>
            </w:r>
            <w:r w:rsidR="00103220">
              <w:rPr>
                <w:rFonts w:ascii="Calibri" w:eastAsia="Calibri" w:hAnsi="Calibri" w:cs="Times New Roman"/>
                <w:b/>
              </w:rPr>
              <w:t>5</w:t>
            </w:r>
            <w:r w:rsidRPr="00546B1E">
              <w:rPr>
                <w:rFonts w:ascii="Calibri" w:eastAsia="Calibri" w:hAnsi="Calibri" w:cs="Times New Roman"/>
                <w:b/>
              </w:rPr>
              <w:t xml:space="preserve"> …</w:t>
            </w:r>
          </w:p>
        </w:tc>
        <w:tc>
          <w:tcPr>
            <w:tcW w:w="1350" w:type="dxa"/>
            <w:vAlign w:val="center"/>
          </w:tcPr>
          <w:p w14:paraId="05CD968F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3B158E31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44FCC804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30920F9B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6E6D7217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77BED2D0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03220" w:rsidRPr="00546B1E" w14:paraId="1CFE6815" w14:textId="77777777" w:rsidTr="00956489">
        <w:trPr>
          <w:trHeight w:val="1644"/>
        </w:trPr>
        <w:tc>
          <w:tcPr>
            <w:tcW w:w="1351" w:type="dxa"/>
          </w:tcPr>
          <w:p w14:paraId="1D776650" w14:textId="77777777" w:rsidR="00EB3167" w:rsidRPr="00546B1E" w:rsidRDefault="00EB3167" w:rsidP="009564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O</w:t>
            </w:r>
            <w:r w:rsidR="00103220">
              <w:rPr>
                <w:rFonts w:ascii="Calibri" w:eastAsia="Calibri" w:hAnsi="Calibri" w:cs="Times New Roman"/>
                <w:b/>
              </w:rPr>
              <w:t>6</w:t>
            </w:r>
            <w:r w:rsidRPr="00546B1E">
              <w:rPr>
                <w:rFonts w:ascii="Calibri" w:eastAsia="Calibri" w:hAnsi="Calibri" w:cs="Times New Roman"/>
                <w:b/>
              </w:rPr>
              <w:t>…</w:t>
            </w:r>
          </w:p>
        </w:tc>
        <w:tc>
          <w:tcPr>
            <w:tcW w:w="1350" w:type="dxa"/>
            <w:vAlign w:val="center"/>
          </w:tcPr>
          <w:p w14:paraId="089CD1E0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032C2471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53" w:type="dxa"/>
          </w:tcPr>
          <w:p w14:paraId="4F7EC104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5" w:type="dxa"/>
          </w:tcPr>
          <w:p w14:paraId="4CBF989C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6D4E8790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78B398EB" w14:textId="77777777" w:rsidR="00EB3167" w:rsidRPr="00546B1E" w:rsidRDefault="00EB3167" w:rsidP="0095648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2CF05716" w14:textId="77777777" w:rsidR="00EB3167" w:rsidRDefault="00EB3167"/>
    <w:sectPr w:rsidR="00EB31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DCD" w14:textId="77777777" w:rsidR="00FF186E" w:rsidRDefault="00FF186E" w:rsidP="00924CF9">
      <w:pPr>
        <w:spacing w:after="0" w:line="240" w:lineRule="auto"/>
      </w:pPr>
      <w:r>
        <w:separator/>
      </w:r>
    </w:p>
  </w:endnote>
  <w:endnote w:type="continuationSeparator" w:id="0">
    <w:p w14:paraId="13C1D6C5" w14:textId="77777777" w:rsidR="00FF186E" w:rsidRDefault="00FF186E" w:rsidP="0092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1B2E" w14:textId="77777777" w:rsidR="006A0214" w:rsidRDefault="00000000" w:rsidP="006A0214">
    <w:pPr>
      <w:pStyle w:val="Sidefod"/>
      <w:jc w:val="center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6A0214">
          <w:t xml:space="preserve">Side </w:t>
        </w:r>
        <w:r w:rsidR="006A0214">
          <w:rPr>
            <w:b/>
            <w:bCs/>
            <w:sz w:val="24"/>
            <w:szCs w:val="24"/>
          </w:rPr>
          <w:fldChar w:fldCharType="begin"/>
        </w:r>
        <w:r w:rsidR="006A0214">
          <w:rPr>
            <w:b/>
            <w:bCs/>
          </w:rPr>
          <w:instrText>PAGE</w:instrText>
        </w:r>
        <w:r w:rsidR="006A0214">
          <w:rPr>
            <w:b/>
            <w:bCs/>
            <w:sz w:val="24"/>
            <w:szCs w:val="24"/>
          </w:rPr>
          <w:fldChar w:fldCharType="separate"/>
        </w:r>
        <w:r w:rsidR="006A0214">
          <w:rPr>
            <w:b/>
            <w:bCs/>
            <w:noProof/>
          </w:rPr>
          <w:t>1</w:t>
        </w:r>
        <w:r w:rsidR="006A0214">
          <w:rPr>
            <w:b/>
            <w:bCs/>
            <w:sz w:val="24"/>
            <w:szCs w:val="24"/>
          </w:rPr>
          <w:fldChar w:fldCharType="end"/>
        </w:r>
        <w:r w:rsidR="006A0214">
          <w:t xml:space="preserve"> af </w:t>
        </w:r>
        <w:r w:rsidR="006A0214">
          <w:rPr>
            <w:b/>
            <w:bCs/>
            <w:sz w:val="24"/>
            <w:szCs w:val="24"/>
          </w:rPr>
          <w:fldChar w:fldCharType="begin"/>
        </w:r>
        <w:r w:rsidR="006A0214">
          <w:rPr>
            <w:b/>
            <w:bCs/>
          </w:rPr>
          <w:instrText>NUMPAGES</w:instrText>
        </w:r>
        <w:r w:rsidR="006A0214">
          <w:rPr>
            <w:b/>
            <w:bCs/>
            <w:sz w:val="24"/>
            <w:szCs w:val="24"/>
          </w:rPr>
          <w:fldChar w:fldCharType="separate"/>
        </w:r>
        <w:r w:rsidR="006A0214">
          <w:rPr>
            <w:b/>
            <w:bCs/>
            <w:noProof/>
          </w:rPr>
          <w:t>2</w:t>
        </w:r>
        <w:r w:rsidR="006A0214">
          <w:rPr>
            <w:b/>
            <w:bCs/>
            <w:sz w:val="24"/>
            <w:szCs w:val="24"/>
          </w:rPr>
          <w:fldChar w:fldCharType="end"/>
        </w:r>
      </w:sdtContent>
    </w:sdt>
  </w:p>
  <w:p w14:paraId="32AC7FD7" w14:textId="3BB798FE" w:rsidR="00F333AA" w:rsidRDefault="00F333AA" w:rsidP="006A0214">
    <w:pPr>
      <w:pStyle w:val="Sidefod"/>
      <w:jc w:val="center"/>
    </w:pPr>
  </w:p>
  <w:p w14:paraId="2EFD1731" w14:textId="77777777" w:rsidR="00924CF9" w:rsidRDefault="00924C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F1BE" w14:textId="77777777" w:rsidR="00FF186E" w:rsidRDefault="00FF186E" w:rsidP="00924CF9">
      <w:pPr>
        <w:spacing w:after="0" w:line="240" w:lineRule="auto"/>
      </w:pPr>
      <w:r>
        <w:separator/>
      </w:r>
    </w:p>
  </w:footnote>
  <w:footnote w:type="continuationSeparator" w:id="0">
    <w:p w14:paraId="749EF00F" w14:textId="77777777" w:rsidR="00FF186E" w:rsidRDefault="00FF186E" w:rsidP="0092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8B38" w14:textId="0579F9AA" w:rsidR="00924CF9" w:rsidRDefault="000A18AD" w:rsidP="00173B4F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3A433A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173B4F">
      <w:rPr>
        <w:rFonts w:ascii="Verdana" w:hAnsi="Verdana"/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31758"/>
    <w:multiLevelType w:val="hybridMultilevel"/>
    <w:tmpl w:val="7A40641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560DF"/>
    <w:multiLevelType w:val="hybridMultilevel"/>
    <w:tmpl w:val="3D4859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5675F"/>
    <w:multiLevelType w:val="hybridMultilevel"/>
    <w:tmpl w:val="DF4848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C46DF"/>
    <w:multiLevelType w:val="hybridMultilevel"/>
    <w:tmpl w:val="E1228A4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46358"/>
    <w:multiLevelType w:val="hybridMultilevel"/>
    <w:tmpl w:val="E73C6D8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929923">
    <w:abstractNumId w:val="4"/>
  </w:num>
  <w:num w:numId="2" w16cid:durableId="488668275">
    <w:abstractNumId w:val="1"/>
  </w:num>
  <w:num w:numId="3" w16cid:durableId="17454443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483410">
    <w:abstractNumId w:val="0"/>
  </w:num>
  <w:num w:numId="5" w16cid:durableId="1463766644">
    <w:abstractNumId w:val="0"/>
  </w:num>
  <w:num w:numId="6" w16cid:durableId="1655379319">
    <w:abstractNumId w:val="3"/>
  </w:num>
  <w:num w:numId="7" w16cid:durableId="1559854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67"/>
    <w:rsid w:val="00025181"/>
    <w:rsid w:val="000324B2"/>
    <w:rsid w:val="0004162E"/>
    <w:rsid w:val="00092898"/>
    <w:rsid w:val="000A18AD"/>
    <w:rsid w:val="00103220"/>
    <w:rsid w:val="00142DD7"/>
    <w:rsid w:val="00173B4F"/>
    <w:rsid w:val="002E02DD"/>
    <w:rsid w:val="00333EBD"/>
    <w:rsid w:val="0036081D"/>
    <w:rsid w:val="00361066"/>
    <w:rsid w:val="003A433A"/>
    <w:rsid w:val="00446D08"/>
    <w:rsid w:val="004701BD"/>
    <w:rsid w:val="00500882"/>
    <w:rsid w:val="0058532A"/>
    <w:rsid w:val="006A0214"/>
    <w:rsid w:val="007636C0"/>
    <w:rsid w:val="00844974"/>
    <w:rsid w:val="00892CE1"/>
    <w:rsid w:val="008A281B"/>
    <w:rsid w:val="008D4BFB"/>
    <w:rsid w:val="00924CF9"/>
    <w:rsid w:val="00990825"/>
    <w:rsid w:val="009D4EFB"/>
    <w:rsid w:val="00BA6AAB"/>
    <w:rsid w:val="00BB7509"/>
    <w:rsid w:val="00C70086"/>
    <w:rsid w:val="00CA531E"/>
    <w:rsid w:val="00E66E7B"/>
    <w:rsid w:val="00EB3167"/>
    <w:rsid w:val="00F23177"/>
    <w:rsid w:val="00F333AA"/>
    <w:rsid w:val="00F7019C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C8B0"/>
  <w15:docId w15:val="{35528446-EFD0-4826-AA33-F54893CF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B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24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CF9"/>
  </w:style>
  <w:style w:type="paragraph" w:styleId="Sidefod">
    <w:name w:val="footer"/>
    <w:basedOn w:val="Normal"/>
    <w:link w:val="SidefodTegn"/>
    <w:uiPriority w:val="99"/>
    <w:unhideWhenUsed/>
    <w:rsid w:val="00924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CF9"/>
  </w:style>
  <w:style w:type="paragraph" w:styleId="Listeafsnit">
    <w:name w:val="List Paragraph"/>
    <w:basedOn w:val="Normal"/>
    <w:uiPriority w:val="34"/>
    <w:qFormat/>
    <w:rsid w:val="00924CF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01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01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01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01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01B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Niels Vestergaard Olsen</cp:lastModifiedBy>
  <cp:revision>9</cp:revision>
  <dcterms:created xsi:type="dcterms:W3CDTF">2021-07-01T12:22:00Z</dcterms:created>
  <dcterms:modified xsi:type="dcterms:W3CDTF">2025-08-28T11:59:00Z</dcterms:modified>
</cp:coreProperties>
</file>