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D01E" w14:textId="730BE972" w:rsidR="00A67747" w:rsidRPr="00530C5E" w:rsidRDefault="00E10E13">
      <w:pPr>
        <w:rPr>
          <w:b/>
          <w:bCs/>
          <w:sz w:val="28"/>
          <w:szCs w:val="28"/>
        </w:rPr>
      </w:pPr>
      <w:r w:rsidRPr="00530C5E">
        <w:rPr>
          <w:b/>
          <w:bCs/>
          <w:sz w:val="28"/>
          <w:szCs w:val="28"/>
        </w:rPr>
        <w:t>MODEL TIL VURDERING AF EN VIRKSOMHEDS INTERNATIONALISERINGSGRAD</w:t>
      </w:r>
    </w:p>
    <w:p w14:paraId="2B07BFB7" w14:textId="0A2B0BB5" w:rsidR="0064007C" w:rsidRPr="0064007C" w:rsidRDefault="0064007C">
      <w:r>
        <w:t>Analyse med baggrund i figur 16.</w:t>
      </w:r>
      <w:r w:rsidR="00D452FF">
        <w:t>2</w:t>
      </w:r>
      <w:r>
        <w:t xml:space="preserve"> i lærebogen. </w:t>
      </w:r>
      <w:r w:rsidR="00D452FF">
        <w:t xml:space="preserve">Det vil ikke altid være muligt at vurdere alle seks dimensioner. Det kan f.eks. være tilfældet, at en virksomhed ikke benytter internationale investorer. Derfor vurderes de dimensioner, som er aktuelle for virksomheden. De dimensioner, som ikke er aktuelle, tildeles vurderingen ”lav” og indgår dermed indirekte i den samlede vurdering af virksomhedens internationaliseringsgrad. </w:t>
      </w:r>
    </w:p>
    <w:tbl>
      <w:tblPr>
        <w:tblStyle w:val="Tabel-Gitter"/>
        <w:tblW w:w="0" w:type="auto"/>
        <w:tblLook w:val="04A0" w:firstRow="1" w:lastRow="0" w:firstColumn="1" w:lastColumn="0" w:noHBand="0" w:noVBand="1"/>
      </w:tblPr>
      <w:tblGrid>
        <w:gridCol w:w="498"/>
        <w:gridCol w:w="2474"/>
        <w:gridCol w:w="6656"/>
      </w:tblGrid>
      <w:tr w:rsidR="00D452FF" w14:paraId="1A0B6977" w14:textId="77777777" w:rsidTr="00B919FE">
        <w:trPr>
          <w:cantSplit/>
          <w:trHeight w:val="397"/>
        </w:trPr>
        <w:tc>
          <w:tcPr>
            <w:tcW w:w="498" w:type="dxa"/>
            <w:vMerge w:val="restart"/>
          </w:tcPr>
          <w:p w14:paraId="33AD7C32" w14:textId="77777777" w:rsidR="00D452FF" w:rsidRDefault="00D452FF">
            <w:pPr>
              <w:rPr>
                <w:b/>
                <w:bCs/>
              </w:rPr>
            </w:pPr>
          </w:p>
        </w:tc>
        <w:tc>
          <w:tcPr>
            <w:tcW w:w="9130" w:type="dxa"/>
            <w:gridSpan w:val="2"/>
            <w:vAlign w:val="center"/>
          </w:tcPr>
          <w:p w14:paraId="6BF1104E" w14:textId="16ED9658" w:rsidR="00D452FF" w:rsidRPr="00A67747" w:rsidRDefault="00D452FF" w:rsidP="00B919FE">
            <w:pPr>
              <w:rPr>
                <w:b/>
                <w:bCs/>
              </w:rPr>
            </w:pPr>
            <w:r>
              <w:rPr>
                <w:b/>
                <w:bCs/>
              </w:rPr>
              <w:t>VURDERING AF ________ (VIRKSOMHEDSNAVN) INTERNATIONALISERINGSGRAD</w:t>
            </w:r>
          </w:p>
        </w:tc>
      </w:tr>
      <w:tr w:rsidR="00D452FF" w14:paraId="45CAF750" w14:textId="77777777" w:rsidTr="00B919FE">
        <w:trPr>
          <w:cantSplit/>
          <w:trHeight w:val="397"/>
        </w:trPr>
        <w:tc>
          <w:tcPr>
            <w:tcW w:w="498" w:type="dxa"/>
            <w:vMerge/>
            <w:textDirection w:val="tbRl"/>
          </w:tcPr>
          <w:p w14:paraId="23B578CE" w14:textId="77777777" w:rsidR="00D452FF" w:rsidRDefault="00D452FF" w:rsidP="0064007C">
            <w:pPr>
              <w:ind w:left="113" w:right="113"/>
              <w:jc w:val="center"/>
            </w:pPr>
          </w:p>
        </w:tc>
        <w:tc>
          <w:tcPr>
            <w:tcW w:w="2474" w:type="dxa"/>
            <w:vAlign w:val="center"/>
          </w:tcPr>
          <w:p w14:paraId="03E84E35" w14:textId="49A2D386" w:rsidR="00D452FF" w:rsidRPr="00D452FF" w:rsidRDefault="00D452FF" w:rsidP="00B919FE">
            <w:pPr>
              <w:rPr>
                <w:b/>
                <w:bCs/>
              </w:rPr>
            </w:pPr>
            <w:r w:rsidRPr="00D452FF">
              <w:rPr>
                <w:b/>
                <w:bCs/>
              </w:rPr>
              <w:t>Dimension</w:t>
            </w:r>
          </w:p>
        </w:tc>
        <w:tc>
          <w:tcPr>
            <w:tcW w:w="6656" w:type="dxa"/>
            <w:vAlign w:val="center"/>
          </w:tcPr>
          <w:p w14:paraId="020CF2CB" w14:textId="3518BAAB" w:rsidR="00D452FF" w:rsidRPr="00D452FF" w:rsidRDefault="00D452FF" w:rsidP="00B919FE">
            <w:pPr>
              <w:rPr>
                <w:b/>
                <w:bCs/>
                <w:color w:val="A6A6A6" w:themeColor="background1" w:themeShade="A6"/>
              </w:rPr>
            </w:pPr>
            <w:r w:rsidRPr="00D452FF">
              <w:rPr>
                <w:b/>
                <w:bCs/>
              </w:rPr>
              <w:t>Vurdering</w:t>
            </w:r>
            <w:r>
              <w:rPr>
                <w:b/>
                <w:bCs/>
              </w:rPr>
              <w:t xml:space="preserve"> (høj, mellem, lav)</w:t>
            </w:r>
          </w:p>
        </w:tc>
      </w:tr>
      <w:tr w:rsidR="0064007C" w14:paraId="350679BC" w14:textId="77777777" w:rsidTr="0064007C">
        <w:tc>
          <w:tcPr>
            <w:tcW w:w="498" w:type="dxa"/>
            <w:vMerge w:val="restart"/>
            <w:textDirection w:val="tbRl"/>
          </w:tcPr>
          <w:p w14:paraId="2026E45A" w14:textId="29110983" w:rsidR="0064007C" w:rsidRPr="00D452FF" w:rsidRDefault="0064007C" w:rsidP="0064007C">
            <w:pPr>
              <w:ind w:left="113" w:right="113"/>
              <w:jc w:val="center"/>
              <w:rPr>
                <w:b/>
                <w:bCs/>
              </w:rPr>
            </w:pPr>
            <w:r w:rsidRPr="00D452FF">
              <w:rPr>
                <w:b/>
                <w:bCs/>
              </w:rPr>
              <w:t>Markedet</w:t>
            </w:r>
          </w:p>
        </w:tc>
        <w:tc>
          <w:tcPr>
            <w:tcW w:w="2474" w:type="dxa"/>
          </w:tcPr>
          <w:p w14:paraId="42D9A7B6" w14:textId="218255EB" w:rsidR="0064007C" w:rsidRDefault="0064007C">
            <w:r>
              <w:t>Eksportandel</w:t>
            </w:r>
          </w:p>
        </w:tc>
        <w:tc>
          <w:tcPr>
            <w:tcW w:w="6656" w:type="dxa"/>
          </w:tcPr>
          <w:p w14:paraId="5D2529FF" w14:textId="3708E49C" w:rsidR="0064007C" w:rsidRPr="0064007C" w:rsidRDefault="0064007C">
            <w:pPr>
              <w:rPr>
                <w:color w:val="A6A6A6" w:themeColor="background1" w:themeShade="A6"/>
              </w:rPr>
            </w:pPr>
            <w:r w:rsidRPr="0064007C">
              <w:rPr>
                <w:color w:val="A6A6A6" w:themeColor="background1" w:themeShade="A6"/>
              </w:rPr>
              <w:t>Andel af virksomhedens samlede omsætning, som kommer fra eksport</w:t>
            </w:r>
          </w:p>
          <w:p w14:paraId="3D6F0D99" w14:textId="77777777" w:rsidR="0064007C" w:rsidRDefault="0064007C"/>
          <w:p w14:paraId="34142E07" w14:textId="4E5BFA06" w:rsidR="0064007C" w:rsidRDefault="0064007C"/>
          <w:p w14:paraId="39939F82" w14:textId="77777777" w:rsidR="00D452FF" w:rsidRDefault="00D452FF"/>
          <w:p w14:paraId="3303D4C6" w14:textId="5356769B" w:rsidR="0064007C" w:rsidRDefault="00D452FF">
            <w:r>
              <w:t xml:space="preserve">Vurdering (høj, mellem, lav): </w:t>
            </w:r>
          </w:p>
        </w:tc>
      </w:tr>
      <w:tr w:rsidR="0064007C" w14:paraId="0283C90F" w14:textId="77777777" w:rsidTr="0064007C">
        <w:tc>
          <w:tcPr>
            <w:tcW w:w="498" w:type="dxa"/>
            <w:vMerge/>
          </w:tcPr>
          <w:p w14:paraId="68A2117F" w14:textId="77777777" w:rsidR="0064007C" w:rsidRDefault="0064007C"/>
        </w:tc>
        <w:tc>
          <w:tcPr>
            <w:tcW w:w="2474" w:type="dxa"/>
          </w:tcPr>
          <w:p w14:paraId="5478F7EA" w14:textId="0F130B38" w:rsidR="0064007C" w:rsidRDefault="0064007C">
            <w:r>
              <w:t>Geografisk spændvidde</w:t>
            </w:r>
          </w:p>
        </w:tc>
        <w:tc>
          <w:tcPr>
            <w:tcW w:w="6656" w:type="dxa"/>
          </w:tcPr>
          <w:p w14:paraId="565336D7" w14:textId="0BF59B59" w:rsidR="0064007C" w:rsidRPr="0064007C" w:rsidRDefault="0064007C">
            <w:pPr>
              <w:rPr>
                <w:color w:val="A6A6A6" w:themeColor="background1" w:themeShade="A6"/>
              </w:rPr>
            </w:pPr>
            <w:r w:rsidRPr="0064007C">
              <w:rPr>
                <w:color w:val="A6A6A6" w:themeColor="background1" w:themeShade="A6"/>
              </w:rPr>
              <w:t xml:space="preserve">Antallet af lande eller regioner virksomheden opererer </w:t>
            </w:r>
            <w:r>
              <w:rPr>
                <w:color w:val="A6A6A6" w:themeColor="background1" w:themeShade="A6"/>
              </w:rPr>
              <w:t>i</w:t>
            </w:r>
          </w:p>
          <w:p w14:paraId="2EDBBF76" w14:textId="42602F39" w:rsidR="0064007C" w:rsidRDefault="0064007C">
            <w:pPr>
              <w:rPr>
                <w:b/>
                <w:bCs/>
              </w:rPr>
            </w:pPr>
          </w:p>
          <w:p w14:paraId="7F006CD4" w14:textId="77777777" w:rsidR="00D452FF" w:rsidRDefault="00D452FF">
            <w:pPr>
              <w:rPr>
                <w:b/>
                <w:bCs/>
              </w:rPr>
            </w:pPr>
          </w:p>
          <w:p w14:paraId="4AC6AC4B" w14:textId="77777777" w:rsidR="0064007C" w:rsidRDefault="0064007C">
            <w:pPr>
              <w:rPr>
                <w:b/>
                <w:bCs/>
              </w:rPr>
            </w:pPr>
          </w:p>
          <w:p w14:paraId="3FCBA4F3" w14:textId="0C5ABE1E" w:rsidR="0064007C" w:rsidRPr="00A5740A" w:rsidRDefault="00D452FF">
            <w:pPr>
              <w:rPr>
                <w:b/>
                <w:bCs/>
              </w:rPr>
            </w:pPr>
            <w:r>
              <w:t>Vurdering (høj, mellem, lav):</w:t>
            </w:r>
          </w:p>
        </w:tc>
      </w:tr>
      <w:tr w:rsidR="0064007C" w14:paraId="5567026F" w14:textId="77777777" w:rsidTr="0064007C">
        <w:tc>
          <w:tcPr>
            <w:tcW w:w="498" w:type="dxa"/>
            <w:vMerge w:val="restart"/>
            <w:textDirection w:val="tbRl"/>
          </w:tcPr>
          <w:p w14:paraId="33182385" w14:textId="7D681482" w:rsidR="0064007C" w:rsidRPr="00D452FF" w:rsidRDefault="0064007C" w:rsidP="0064007C">
            <w:pPr>
              <w:ind w:left="113" w:right="113"/>
              <w:jc w:val="center"/>
              <w:rPr>
                <w:b/>
                <w:bCs/>
              </w:rPr>
            </w:pPr>
            <w:r w:rsidRPr="00D452FF">
              <w:rPr>
                <w:b/>
                <w:bCs/>
              </w:rPr>
              <w:t>Interne ressourcer</w:t>
            </w:r>
          </w:p>
        </w:tc>
        <w:tc>
          <w:tcPr>
            <w:tcW w:w="2474" w:type="dxa"/>
          </w:tcPr>
          <w:p w14:paraId="14C50291" w14:textId="2C863125" w:rsidR="0064007C" w:rsidRDefault="0064007C">
            <w:r>
              <w:t>Netværk</w:t>
            </w:r>
          </w:p>
        </w:tc>
        <w:tc>
          <w:tcPr>
            <w:tcW w:w="6656" w:type="dxa"/>
          </w:tcPr>
          <w:p w14:paraId="0E15D35B" w14:textId="302BA92A" w:rsidR="0064007C" w:rsidRPr="0064007C" w:rsidRDefault="0064007C">
            <w:pPr>
              <w:rPr>
                <w:color w:val="A6A6A6" w:themeColor="background1" w:themeShade="A6"/>
              </w:rPr>
            </w:pPr>
            <w:r>
              <w:rPr>
                <w:color w:val="A6A6A6" w:themeColor="background1" w:themeShade="A6"/>
              </w:rPr>
              <w:t>Hvor i</w:t>
            </w:r>
            <w:r w:rsidRPr="0064007C">
              <w:rPr>
                <w:color w:val="A6A6A6" w:themeColor="background1" w:themeShade="A6"/>
              </w:rPr>
              <w:t>nternationalt er virksomhedens netværk?</w:t>
            </w:r>
          </w:p>
          <w:p w14:paraId="74DC0863" w14:textId="77777777" w:rsidR="0064007C" w:rsidRDefault="0064007C"/>
          <w:p w14:paraId="729E3596" w14:textId="585E699B" w:rsidR="0064007C" w:rsidRDefault="0064007C"/>
          <w:p w14:paraId="3906510D" w14:textId="77777777" w:rsidR="00D452FF" w:rsidRDefault="00D452FF"/>
          <w:p w14:paraId="65003E68" w14:textId="103C3DEC" w:rsidR="0064007C" w:rsidRPr="00A5740A" w:rsidRDefault="00D452FF">
            <w:pPr>
              <w:rPr>
                <w:b/>
                <w:bCs/>
              </w:rPr>
            </w:pPr>
            <w:r>
              <w:t>Vurdering (høj, mellem, lav):</w:t>
            </w:r>
          </w:p>
        </w:tc>
      </w:tr>
      <w:tr w:rsidR="0064007C" w14:paraId="0B1AD262" w14:textId="77777777" w:rsidTr="0064007C">
        <w:tc>
          <w:tcPr>
            <w:tcW w:w="498" w:type="dxa"/>
            <w:vMerge/>
          </w:tcPr>
          <w:p w14:paraId="607BB2F1" w14:textId="77777777" w:rsidR="0064007C" w:rsidRDefault="0064007C"/>
        </w:tc>
        <w:tc>
          <w:tcPr>
            <w:tcW w:w="2474" w:type="dxa"/>
          </w:tcPr>
          <w:p w14:paraId="6BD53051" w14:textId="40177F4E" w:rsidR="0064007C" w:rsidRDefault="0064007C">
            <w:r>
              <w:t>International orientering</w:t>
            </w:r>
          </w:p>
        </w:tc>
        <w:tc>
          <w:tcPr>
            <w:tcW w:w="6656" w:type="dxa"/>
          </w:tcPr>
          <w:p w14:paraId="249A0302" w14:textId="52AC8DE0" w:rsidR="0064007C" w:rsidRPr="0064007C" w:rsidRDefault="0064007C" w:rsidP="0064007C">
            <w:pPr>
              <w:rPr>
                <w:color w:val="A6A6A6" w:themeColor="background1" w:themeShade="A6"/>
              </w:rPr>
            </w:pPr>
            <w:r w:rsidRPr="0064007C">
              <w:rPr>
                <w:color w:val="A6A6A6" w:themeColor="background1" w:themeShade="A6"/>
              </w:rPr>
              <w:t>Ledelsens internationale orientering</w:t>
            </w:r>
            <w:r>
              <w:rPr>
                <w:color w:val="A6A6A6" w:themeColor="background1" w:themeShade="A6"/>
              </w:rPr>
              <w:t>:</w:t>
            </w:r>
          </w:p>
          <w:p w14:paraId="2C3C2BB5" w14:textId="6EECD8F6" w:rsidR="0064007C" w:rsidRPr="0064007C" w:rsidRDefault="0064007C" w:rsidP="0064007C">
            <w:pPr>
              <w:pStyle w:val="Listeafsnit"/>
              <w:numPr>
                <w:ilvl w:val="0"/>
                <w:numId w:val="1"/>
              </w:numPr>
              <w:rPr>
                <w:color w:val="A6A6A6" w:themeColor="background1" w:themeShade="A6"/>
              </w:rPr>
            </w:pPr>
            <w:r w:rsidRPr="0064007C">
              <w:rPr>
                <w:color w:val="A6A6A6" w:themeColor="background1" w:themeShade="A6"/>
              </w:rPr>
              <w:t>Erfaring</w:t>
            </w:r>
          </w:p>
          <w:p w14:paraId="0F4C5679" w14:textId="772C5FC4" w:rsidR="0064007C" w:rsidRPr="0064007C" w:rsidRDefault="0064007C" w:rsidP="0064007C">
            <w:pPr>
              <w:pStyle w:val="Listeafsnit"/>
              <w:numPr>
                <w:ilvl w:val="0"/>
                <w:numId w:val="1"/>
              </w:numPr>
              <w:rPr>
                <w:color w:val="A6A6A6" w:themeColor="background1" w:themeShade="A6"/>
              </w:rPr>
            </w:pPr>
            <w:r w:rsidRPr="0064007C">
              <w:rPr>
                <w:color w:val="A6A6A6" w:themeColor="background1" w:themeShade="A6"/>
              </w:rPr>
              <w:t>Motivation for- og holdning til internationalisering</w:t>
            </w:r>
          </w:p>
          <w:p w14:paraId="7C62D98F" w14:textId="67BAA3F6" w:rsidR="0064007C" w:rsidRPr="0064007C" w:rsidRDefault="0064007C" w:rsidP="0064007C">
            <w:pPr>
              <w:pStyle w:val="Listeafsnit"/>
              <w:numPr>
                <w:ilvl w:val="0"/>
                <w:numId w:val="1"/>
              </w:numPr>
              <w:rPr>
                <w:color w:val="A6A6A6" w:themeColor="background1" w:themeShade="A6"/>
              </w:rPr>
            </w:pPr>
            <w:r w:rsidRPr="0064007C">
              <w:rPr>
                <w:color w:val="A6A6A6" w:themeColor="background1" w:themeShade="A6"/>
              </w:rPr>
              <w:t xml:space="preserve">Antal ledere med international erfaring ift. samlet antal ledere </w:t>
            </w:r>
          </w:p>
          <w:p w14:paraId="498D9A1F" w14:textId="77777777" w:rsidR="00D452FF" w:rsidRDefault="00D452FF"/>
          <w:p w14:paraId="6CAB8504" w14:textId="3AF7A54F" w:rsidR="0064007C" w:rsidRPr="00A5740A" w:rsidRDefault="00D452FF">
            <w:pPr>
              <w:rPr>
                <w:b/>
                <w:bCs/>
              </w:rPr>
            </w:pPr>
            <w:r>
              <w:t>Vurdering (høj, mellem, lav):</w:t>
            </w:r>
          </w:p>
        </w:tc>
      </w:tr>
      <w:tr w:rsidR="0064007C" w14:paraId="1F2FF914" w14:textId="77777777" w:rsidTr="0064007C">
        <w:tc>
          <w:tcPr>
            <w:tcW w:w="498" w:type="dxa"/>
            <w:vMerge/>
          </w:tcPr>
          <w:p w14:paraId="268A97CA" w14:textId="77777777" w:rsidR="0064007C" w:rsidRDefault="0064007C"/>
        </w:tc>
        <w:tc>
          <w:tcPr>
            <w:tcW w:w="2474" w:type="dxa"/>
          </w:tcPr>
          <w:p w14:paraId="1F05AAAF" w14:textId="196C991A" w:rsidR="0064007C" w:rsidRDefault="0064007C">
            <w:r>
              <w:t>Finansiel</w:t>
            </w:r>
          </w:p>
        </w:tc>
        <w:tc>
          <w:tcPr>
            <w:tcW w:w="6656" w:type="dxa"/>
          </w:tcPr>
          <w:p w14:paraId="3DF8F34D" w14:textId="40CBAC9B" w:rsidR="0064007C" w:rsidRPr="0064007C" w:rsidRDefault="0064007C">
            <w:pPr>
              <w:rPr>
                <w:color w:val="A6A6A6" w:themeColor="background1" w:themeShade="A6"/>
              </w:rPr>
            </w:pPr>
            <w:r w:rsidRPr="0064007C">
              <w:rPr>
                <w:color w:val="A6A6A6" w:themeColor="background1" w:themeShade="A6"/>
              </w:rPr>
              <w:t>I hvor høj grad benytter virksomheden internationale investorer:</w:t>
            </w:r>
          </w:p>
          <w:p w14:paraId="2665B9EE" w14:textId="77777777" w:rsidR="0064007C" w:rsidRPr="0064007C" w:rsidRDefault="0064007C" w:rsidP="0064007C">
            <w:pPr>
              <w:pStyle w:val="Listeafsnit"/>
              <w:numPr>
                <w:ilvl w:val="0"/>
                <w:numId w:val="2"/>
              </w:numPr>
              <w:rPr>
                <w:color w:val="A6A6A6" w:themeColor="background1" w:themeShade="A6"/>
              </w:rPr>
            </w:pPr>
            <w:r w:rsidRPr="0064007C">
              <w:rPr>
                <w:color w:val="A6A6A6" w:themeColor="background1" w:themeShade="A6"/>
              </w:rPr>
              <w:t>Andel af udenlandsk ejerskab</w:t>
            </w:r>
          </w:p>
          <w:p w14:paraId="1E94848F" w14:textId="77777777" w:rsidR="0064007C" w:rsidRDefault="0064007C" w:rsidP="0064007C">
            <w:pPr>
              <w:pStyle w:val="Listeafsnit"/>
              <w:numPr>
                <w:ilvl w:val="0"/>
                <w:numId w:val="2"/>
              </w:numPr>
              <w:rPr>
                <w:color w:val="A6A6A6" w:themeColor="background1" w:themeShade="A6"/>
              </w:rPr>
            </w:pPr>
            <w:r w:rsidRPr="0064007C">
              <w:rPr>
                <w:color w:val="A6A6A6" w:themeColor="background1" w:themeShade="A6"/>
              </w:rPr>
              <w:t>Andel af udenlandsk gæld ift. total gæld</w:t>
            </w:r>
          </w:p>
          <w:p w14:paraId="5976BB2D" w14:textId="77777777" w:rsidR="00D452FF" w:rsidRDefault="00D452FF" w:rsidP="00D452FF"/>
          <w:p w14:paraId="3771AE14" w14:textId="73B3F2CE" w:rsidR="00D452FF" w:rsidRPr="00D452FF" w:rsidRDefault="00D452FF" w:rsidP="00D452FF">
            <w:pPr>
              <w:rPr>
                <w:color w:val="A6A6A6" w:themeColor="background1" w:themeShade="A6"/>
              </w:rPr>
            </w:pPr>
            <w:r>
              <w:t>Vurdering (høj, mellem, lav):</w:t>
            </w:r>
          </w:p>
        </w:tc>
      </w:tr>
      <w:tr w:rsidR="0064007C" w14:paraId="6B878383" w14:textId="77777777" w:rsidTr="0064007C">
        <w:tc>
          <w:tcPr>
            <w:tcW w:w="498" w:type="dxa"/>
            <w:vMerge/>
          </w:tcPr>
          <w:p w14:paraId="1A7A92DA" w14:textId="77777777" w:rsidR="0064007C" w:rsidRDefault="0064007C"/>
        </w:tc>
        <w:tc>
          <w:tcPr>
            <w:tcW w:w="2474" w:type="dxa"/>
          </w:tcPr>
          <w:p w14:paraId="0E733681" w14:textId="36ADA839" w:rsidR="0064007C" w:rsidRDefault="0064007C">
            <w:r>
              <w:t>Aktiver/ressourcer</w:t>
            </w:r>
          </w:p>
        </w:tc>
        <w:tc>
          <w:tcPr>
            <w:tcW w:w="6656" w:type="dxa"/>
          </w:tcPr>
          <w:p w14:paraId="29377461" w14:textId="44AA7192" w:rsidR="0064007C" w:rsidRPr="00D452FF" w:rsidRDefault="00D452FF">
            <w:pPr>
              <w:rPr>
                <w:color w:val="A6A6A6" w:themeColor="background1" w:themeShade="A6"/>
              </w:rPr>
            </w:pPr>
            <w:r w:rsidRPr="00D452FF">
              <w:rPr>
                <w:color w:val="A6A6A6" w:themeColor="background1" w:themeShade="A6"/>
              </w:rPr>
              <w:t>Andel af ressourcer allokeret i udlandet:</w:t>
            </w:r>
          </w:p>
          <w:p w14:paraId="59D3CE65" w14:textId="3272EF4D" w:rsidR="00D452FF" w:rsidRPr="00D452FF" w:rsidRDefault="00D452FF" w:rsidP="00D452FF">
            <w:pPr>
              <w:pStyle w:val="Listeafsnit"/>
              <w:numPr>
                <w:ilvl w:val="0"/>
                <w:numId w:val="3"/>
              </w:numPr>
              <w:rPr>
                <w:color w:val="A6A6A6" w:themeColor="background1" w:themeShade="A6"/>
              </w:rPr>
            </w:pPr>
            <w:r w:rsidRPr="00D452FF">
              <w:rPr>
                <w:color w:val="A6A6A6" w:themeColor="background1" w:themeShade="A6"/>
              </w:rPr>
              <w:t>Udenlandske aktivers andel af de totale aktiver</w:t>
            </w:r>
          </w:p>
          <w:p w14:paraId="7E53249A" w14:textId="291EB580" w:rsidR="00D452FF" w:rsidRPr="00D452FF" w:rsidRDefault="00D452FF" w:rsidP="00D452FF">
            <w:pPr>
              <w:pStyle w:val="Listeafsnit"/>
              <w:numPr>
                <w:ilvl w:val="0"/>
                <w:numId w:val="3"/>
              </w:numPr>
              <w:rPr>
                <w:color w:val="A6A6A6" w:themeColor="background1" w:themeShade="A6"/>
              </w:rPr>
            </w:pPr>
            <w:r w:rsidRPr="00D452FF">
              <w:rPr>
                <w:color w:val="A6A6A6" w:themeColor="background1" w:themeShade="A6"/>
              </w:rPr>
              <w:t>Udenlandske datterselskabers andel af det totale antal datterselskaber</w:t>
            </w:r>
          </w:p>
          <w:p w14:paraId="70010EE3" w14:textId="77777777" w:rsidR="0064007C" w:rsidRDefault="00D452FF" w:rsidP="00D452FF">
            <w:pPr>
              <w:pStyle w:val="Listeafsnit"/>
              <w:numPr>
                <w:ilvl w:val="0"/>
                <w:numId w:val="3"/>
              </w:numPr>
              <w:rPr>
                <w:color w:val="A6A6A6" w:themeColor="background1" w:themeShade="A6"/>
              </w:rPr>
            </w:pPr>
            <w:r w:rsidRPr="00D452FF">
              <w:rPr>
                <w:color w:val="A6A6A6" w:themeColor="background1" w:themeShade="A6"/>
              </w:rPr>
              <w:t>Udenlandske ansattes andel af det samlede antal ansatte</w:t>
            </w:r>
          </w:p>
          <w:p w14:paraId="74FEBC37" w14:textId="01FD7667" w:rsidR="00D452FF" w:rsidRPr="00D452FF" w:rsidRDefault="00D452FF" w:rsidP="00D452FF">
            <w:pPr>
              <w:rPr>
                <w:color w:val="A6A6A6" w:themeColor="background1" w:themeShade="A6"/>
              </w:rPr>
            </w:pPr>
            <w:r>
              <w:t>Vurdering (høj, mellem, lav):</w:t>
            </w:r>
          </w:p>
        </w:tc>
      </w:tr>
      <w:tr w:rsidR="0064007C" w14:paraId="238C7820" w14:textId="77777777" w:rsidTr="0064007C">
        <w:tc>
          <w:tcPr>
            <w:tcW w:w="498" w:type="dxa"/>
          </w:tcPr>
          <w:p w14:paraId="6E3A4D88" w14:textId="77777777" w:rsidR="0064007C" w:rsidRDefault="0064007C"/>
        </w:tc>
        <w:tc>
          <w:tcPr>
            <w:tcW w:w="2474" w:type="dxa"/>
          </w:tcPr>
          <w:p w14:paraId="48CD2A68" w14:textId="6B607375" w:rsidR="0064007C" w:rsidRDefault="0064007C">
            <w:r>
              <w:t>Konklusion</w:t>
            </w:r>
          </w:p>
        </w:tc>
        <w:tc>
          <w:tcPr>
            <w:tcW w:w="6656" w:type="dxa"/>
          </w:tcPr>
          <w:p w14:paraId="5413EA80" w14:textId="1EC22274" w:rsidR="0064007C" w:rsidRPr="00D452FF" w:rsidRDefault="0064007C">
            <w:pPr>
              <w:rPr>
                <w:color w:val="A6A6A6" w:themeColor="background1" w:themeShade="A6"/>
              </w:rPr>
            </w:pPr>
            <w:r w:rsidRPr="00D452FF">
              <w:rPr>
                <w:color w:val="A6A6A6" w:themeColor="background1" w:themeShade="A6"/>
              </w:rPr>
              <w:t>Vurdering af/argumentation for grad af internationalisering (høj, mellem, lav) med udgangspunkt i ovennævnte faktorer.</w:t>
            </w:r>
          </w:p>
          <w:p w14:paraId="36C9E682" w14:textId="77777777" w:rsidR="0064007C" w:rsidRPr="00D452FF" w:rsidRDefault="0064007C">
            <w:pPr>
              <w:rPr>
                <w:color w:val="A6A6A6" w:themeColor="background1" w:themeShade="A6"/>
              </w:rPr>
            </w:pPr>
          </w:p>
          <w:p w14:paraId="58B214B6" w14:textId="77777777" w:rsidR="0064007C" w:rsidRPr="00D452FF" w:rsidRDefault="0064007C">
            <w:pPr>
              <w:rPr>
                <w:color w:val="A6A6A6" w:themeColor="background1" w:themeShade="A6"/>
              </w:rPr>
            </w:pPr>
          </w:p>
          <w:p w14:paraId="01E0AE54" w14:textId="2EE72FFE" w:rsidR="0064007C" w:rsidRPr="00D452FF" w:rsidRDefault="00D452FF">
            <w:pPr>
              <w:rPr>
                <w:color w:val="A6A6A6" w:themeColor="background1" w:themeShade="A6"/>
              </w:rPr>
            </w:pPr>
            <w:r>
              <w:t>Samlet vurdering (høj, mellem, lav):</w:t>
            </w:r>
          </w:p>
        </w:tc>
      </w:tr>
    </w:tbl>
    <w:p w14:paraId="04508B1C" w14:textId="77777777" w:rsidR="00A67747" w:rsidRDefault="00A67747"/>
    <w:sectPr w:rsidR="00A6774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AD5B" w14:textId="77777777" w:rsidR="007C2977" w:rsidRDefault="007C2977" w:rsidP="00530C5E">
      <w:pPr>
        <w:spacing w:after="0" w:line="240" w:lineRule="auto"/>
      </w:pPr>
      <w:r>
        <w:separator/>
      </w:r>
    </w:p>
  </w:endnote>
  <w:endnote w:type="continuationSeparator" w:id="0">
    <w:p w14:paraId="35209708" w14:textId="77777777" w:rsidR="007C2977" w:rsidRDefault="007C2977" w:rsidP="0053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F2EC" w14:textId="77777777" w:rsidR="007C2977" w:rsidRDefault="007C2977" w:rsidP="00530C5E">
      <w:pPr>
        <w:spacing w:after="0" w:line="240" w:lineRule="auto"/>
      </w:pPr>
      <w:r>
        <w:separator/>
      </w:r>
    </w:p>
  </w:footnote>
  <w:footnote w:type="continuationSeparator" w:id="0">
    <w:p w14:paraId="67F7AFFF" w14:textId="77777777" w:rsidR="007C2977" w:rsidRDefault="007C2977" w:rsidP="0053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A27A" w14:textId="77777777" w:rsidR="00530C5E" w:rsidRPr="009D604B" w:rsidRDefault="00530C5E" w:rsidP="00530C5E">
    <w:pPr>
      <w:tabs>
        <w:tab w:val="right" w:pos="9639"/>
      </w:tabs>
      <w:spacing w:after="0"/>
    </w:pPr>
    <w:r>
      <w:rPr>
        <w:rFonts w:ascii="Verdana" w:hAnsi="Verdana"/>
        <w:b/>
        <w:sz w:val="28"/>
        <w:szCs w:val="28"/>
      </w:rPr>
      <w:t>International markedsføring, 7. udg.</w:t>
    </w:r>
    <w:r>
      <w:rPr>
        <w:rFonts w:ascii="Verdana" w:hAnsi="Verdana"/>
      </w:rPr>
      <w:tab/>
    </w:r>
    <w:r>
      <w:rPr>
        <w:rFonts w:ascii="Verdana" w:hAnsi="Verdana"/>
        <w:b/>
        <w:sz w:val="40"/>
        <w:szCs w:val="40"/>
      </w:rPr>
      <w:t>Trojka</w:t>
    </w:r>
  </w:p>
  <w:p w14:paraId="7D1F5D2C" w14:textId="77777777" w:rsidR="00530C5E" w:rsidRDefault="00530C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0889"/>
    <w:multiLevelType w:val="hybridMultilevel"/>
    <w:tmpl w:val="58C277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FC274E2"/>
    <w:multiLevelType w:val="hybridMultilevel"/>
    <w:tmpl w:val="C3226A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A5F75FF"/>
    <w:multiLevelType w:val="hybridMultilevel"/>
    <w:tmpl w:val="BD12D6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63574222">
    <w:abstractNumId w:val="0"/>
  </w:num>
  <w:num w:numId="2" w16cid:durableId="1511751183">
    <w:abstractNumId w:val="2"/>
  </w:num>
  <w:num w:numId="3" w16cid:durableId="146357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47"/>
    <w:rsid w:val="00197C6F"/>
    <w:rsid w:val="00530C5E"/>
    <w:rsid w:val="0064007C"/>
    <w:rsid w:val="007C2977"/>
    <w:rsid w:val="009457F8"/>
    <w:rsid w:val="00A35BE7"/>
    <w:rsid w:val="00A41076"/>
    <w:rsid w:val="00A5740A"/>
    <w:rsid w:val="00A67747"/>
    <w:rsid w:val="00B919FE"/>
    <w:rsid w:val="00D452FF"/>
    <w:rsid w:val="00E10E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02E"/>
  <w15:chartTrackingRefBased/>
  <w15:docId w15:val="{DA7DA0EC-CED7-4ACD-9D11-A83E881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6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4007C"/>
    <w:pPr>
      <w:ind w:left="720"/>
      <w:contextualSpacing/>
    </w:pPr>
  </w:style>
  <w:style w:type="paragraph" w:styleId="Sidehoved">
    <w:name w:val="header"/>
    <w:basedOn w:val="Normal"/>
    <w:link w:val="SidehovedTegn"/>
    <w:uiPriority w:val="99"/>
    <w:unhideWhenUsed/>
    <w:rsid w:val="00530C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C5E"/>
  </w:style>
  <w:style w:type="paragraph" w:styleId="Sidefod">
    <w:name w:val="footer"/>
    <w:basedOn w:val="Normal"/>
    <w:link w:val="SidefodTegn"/>
    <w:uiPriority w:val="99"/>
    <w:unhideWhenUsed/>
    <w:rsid w:val="00530C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251</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Risgaard Olsen (lektor – mrol@eaaa.dk)</dc:creator>
  <cp:keywords/>
  <dc:description/>
  <cp:lastModifiedBy>Niels Vestergaard Olsen</cp:lastModifiedBy>
  <cp:revision>5</cp:revision>
  <dcterms:created xsi:type="dcterms:W3CDTF">2023-01-30T13:40:00Z</dcterms:created>
  <dcterms:modified xsi:type="dcterms:W3CDTF">2023-08-10T05:39:00Z</dcterms:modified>
</cp:coreProperties>
</file>